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F6F3" w14:textId="30D46D54" w:rsidR="00F836F0" w:rsidRPr="00BC64A8" w:rsidRDefault="00F836F0" w:rsidP="00F836F0">
      <w:pPr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64A8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Draft </w:t>
      </w:r>
      <w:r w:rsidRPr="00BC64A8">
        <w:rPr>
          <w:rFonts w:asciiTheme="majorHAnsi" w:hAnsiTheme="majorHAnsi" w:cstheme="majorHAnsi"/>
          <w:b/>
          <w:sz w:val="28"/>
          <w:szCs w:val="28"/>
        </w:rPr>
        <w:t xml:space="preserve">Minutes of HotSW LEP CIC </w:t>
      </w:r>
      <w:r w:rsidR="00F47168">
        <w:rPr>
          <w:rFonts w:asciiTheme="majorHAnsi" w:hAnsiTheme="majorHAnsi" w:cstheme="majorHAnsi"/>
          <w:b/>
          <w:sz w:val="28"/>
          <w:szCs w:val="28"/>
        </w:rPr>
        <w:t xml:space="preserve">AGM </w:t>
      </w:r>
      <w:r w:rsidRPr="00BC64A8">
        <w:rPr>
          <w:rFonts w:asciiTheme="majorHAnsi" w:hAnsiTheme="majorHAnsi" w:cstheme="majorHAnsi"/>
          <w:b/>
          <w:sz w:val="28"/>
          <w:szCs w:val="28"/>
        </w:rPr>
        <w:t>Meeting</w:t>
      </w:r>
    </w:p>
    <w:p w14:paraId="611AD0CC" w14:textId="25DB5FC4" w:rsidR="00F836F0" w:rsidRPr="00BC64A8" w:rsidRDefault="00F836F0" w:rsidP="00F836F0">
      <w:pPr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64A8">
        <w:rPr>
          <w:rFonts w:asciiTheme="majorHAnsi" w:hAnsiTheme="majorHAnsi" w:cstheme="majorHAnsi"/>
          <w:b/>
          <w:sz w:val="28"/>
          <w:szCs w:val="28"/>
        </w:rPr>
        <w:t xml:space="preserve">14 October 2022  </w:t>
      </w:r>
    </w:p>
    <w:p w14:paraId="35778CDB" w14:textId="77777777" w:rsidR="00B47DBF" w:rsidRPr="00BC64A8" w:rsidRDefault="00B47DBF" w:rsidP="00B47DB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64A8">
        <w:rPr>
          <w:rFonts w:asciiTheme="majorHAnsi" w:hAnsiTheme="majorHAnsi" w:cstheme="majorHAnsi"/>
          <w:b/>
          <w:bCs/>
          <w:sz w:val="28"/>
          <w:szCs w:val="28"/>
        </w:rPr>
        <w:t>from</w:t>
      </w:r>
    </w:p>
    <w:p w14:paraId="46638EAA" w14:textId="308DF12E" w:rsidR="00B47DBF" w:rsidRPr="00BC64A8" w:rsidRDefault="00B240AE" w:rsidP="00B47DB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12.45 </w:t>
      </w:r>
      <w:r w:rsidR="00B47DBF" w:rsidRPr="00BC64A8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 w:cstheme="majorHAnsi"/>
          <w:b/>
          <w:bCs/>
          <w:sz w:val="28"/>
          <w:szCs w:val="28"/>
        </w:rPr>
        <w:t>1.15pm</w:t>
      </w:r>
      <w:r w:rsidR="00B47DBF" w:rsidRPr="00BC64A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47DBF" w:rsidRPr="00BC64A8">
        <w:rPr>
          <w:rFonts w:asciiTheme="majorHAnsi" w:hAnsiTheme="majorHAnsi" w:cstheme="majorHAnsi"/>
          <w:b/>
          <w:bCs/>
          <w:sz w:val="28"/>
          <w:szCs w:val="28"/>
          <w:u w:val="single"/>
        </w:rPr>
        <w:t>in person</w:t>
      </w:r>
      <w:r w:rsidR="00B47DBF" w:rsidRPr="00BC64A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464F92E" w14:textId="77777777" w:rsidR="00B47DBF" w:rsidRDefault="00B47DBF" w:rsidP="00B47DBF">
      <w:pPr>
        <w:jc w:val="center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BC64A8">
        <w:rPr>
          <w:rFonts w:asciiTheme="majorHAnsi" w:hAnsiTheme="majorHAnsi" w:cstheme="majorHAnsi"/>
          <w:b/>
          <w:bCs/>
          <w:sz w:val="28"/>
          <w:szCs w:val="28"/>
        </w:rPr>
        <w:t xml:space="preserve">Touchdown 1, Future Skills Centre, </w:t>
      </w:r>
      <w:r w:rsidRPr="00BC64A8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Exeter EX5 2LJ</w:t>
      </w:r>
    </w:p>
    <w:p w14:paraId="68C5578B" w14:textId="4772F9B2" w:rsidR="00314BC7" w:rsidRDefault="00314BC7" w:rsidP="00B47DBF">
      <w:pPr>
        <w:jc w:val="center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>a</w:t>
      </w:r>
      <w:r w:rsidRPr="00314BC7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>nd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via </w:t>
      </w:r>
      <w:r w:rsidR="000D7D6D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registration to 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webinar </w:t>
      </w:r>
    </w:p>
    <w:p w14:paraId="14242879" w14:textId="77777777" w:rsidR="00B240AE" w:rsidRPr="00BC64A8" w:rsidRDefault="00B240AE" w:rsidP="00B47DBF">
      <w:pPr>
        <w:jc w:val="center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</w:p>
    <w:p w14:paraId="69117A7A" w14:textId="77777777" w:rsidR="00F836F0" w:rsidRDefault="00F836F0" w:rsidP="00F836F0">
      <w:pPr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Attendees:</w:t>
      </w:r>
    </w:p>
    <w:p w14:paraId="5E94943A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David Bird, Isca Ventures LLP (DB)</w:t>
      </w:r>
    </w:p>
    <w:p w14:paraId="4439114F" w14:textId="77F5FE03" w:rsidR="003145D6" w:rsidRDefault="003145D6" w:rsidP="00F836F0">
      <w:pPr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Cllr David Woan- </w:t>
      </w:r>
      <w:r w:rsidRPr="00923EF2">
        <w:rPr>
          <w:rFonts w:asciiTheme="majorHAnsi" w:hAnsiTheme="majorHAnsi" w:cstheme="majorHAnsi"/>
        </w:rPr>
        <w:t>Associate Lead Member for Economic Development &amp; Inward Investment</w:t>
      </w:r>
      <w:r>
        <w:rPr>
          <w:rFonts w:asciiTheme="majorHAnsi" w:hAnsiTheme="majorHAnsi" w:cstheme="majorHAnsi"/>
        </w:rPr>
        <w:t xml:space="preserve"> Somerset County Council (DW) </w:t>
      </w:r>
    </w:p>
    <w:p w14:paraId="05076338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Jane Dumeresque – Non-Exec Director (JD)</w:t>
      </w:r>
    </w:p>
    <w:p w14:paraId="57349F2F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Prof. Judith Petts CBE– Vice-Chancellor &amp; Chief Executive, University of Plymouth (</w:t>
      </w:r>
      <w:proofErr w:type="spellStart"/>
      <w:r>
        <w:rPr>
          <w:rFonts w:asciiTheme="majorHAnsi" w:hAnsiTheme="majorHAnsi" w:cstheme="majorHAnsi"/>
        </w:rPr>
        <w:t>JPetts</w:t>
      </w:r>
      <w:proofErr w:type="spellEnd"/>
      <w:r>
        <w:rPr>
          <w:rFonts w:asciiTheme="majorHAnsi" w:hAnsiTheme="majorHAnsi" w:cstheme="majorHAnsi"/>
        </w:rPr>
        <w:t>)</w:t>
      </w:r>
    </w:p>
    <w:p w14:paraId="18CBB51A" w14:textId="77777777" w:rsidR="00F836F0" w:rsidRDefault="00F836F0" w:rsidP="00F836F0">
      <w:pPr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</w:rPr>
        <w:t xml:space="preserve">Karl Tucker – Chair HotSW LEP and Chair </w:t>
      </w:r>
      <w:r w:rsidRPr="00923EF2">
        <w:rPr>
          <w:rFonts w:asciiTheme="majorHAnsi" w:hAnsiTheme="majorHAnsi" w:cstheme="majorHAnsi"/>
          <w:lang w:eastAsia="en-GB"/>
        </w:rPr>
        <w:t>Yeo Valley Farms Ltd and Yeo Valley Ltd</w:t>
      </w:r>
      <w:r>
        <w:rPr>
          <w:rFonts w:asciiTheme="majorHAnsi" w:hAnsiTheme="majorHAnsi" w:cstheme="majorHAnsi"/>
          <w:lang w:eastAsia="en-GB"/>
        </w:rPr>
        <w:t xml:space="preserve"> (KT)</w:t>
      </w:r>
    </w:p>
    <w:p w14:paraId="59EF76EB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 Squires MBE – SW Regional Director, NFU (MS)</w:t>
      </w:r>
    </w:p>
    <w:p w14:paraId="0FAB76DC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Paul Coles – CEO, SWBC (</w:t>
      </w:r>
      <w:proofErr w:type="spellStart"/>
      <w:r>
        <w:rPr>
          <w:rFonts w:asciiTheme="majorHAnsi" w:hAnsiTheme="majorHAnsi" w:cstheme="majorHAnsi"/>
        </w:rPr>
        <w:t>PColes</w:t>
      </w:r>
      <w:proofErr w:type="spellEnd"/>
      <w:r>
        <w:rPr>
          <w:rFonts w:asciiTheme="majorHAnsi" w:hAnsiTheme="majorHAnsi" w:cstheme="majorHAnsi"/>
        </w:rPr>
        <w:t>)</w:t>
      </w:r>
    </w:p>
    <w:p w14:paraId="169A62AC" w14:textId="77777777" w:rsidR="00BA611D" w:rsidRDefault="00BA611D" w:rsidP="00BA611D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 Phil Bialyk – Leader, Exeter City Council (PB)</w:t>
      </w:r>
    </w:p>
    <w:p w14:paraId="62FAA948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Cllr Rufus Gilbert -Cabinet Member for Economy and Skills, Devon County Council (RG) </w:t>
      </w:r>
    </w:p>
    <w:p w14:paraId="453D0C11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bookmarkStart w:id="0" w:name="_Hlk144286484"/>
      <w:r>
        <w:rPr>
          <w:rFonts w:asciiTheme="majorHAnsi" w:hAnsiTheme="majorHAnsi" w:cstheme="majorHAnsi"/>
        </w:rPr>
        <w:t xml:space="preserve">Cllr Steve Darling – Leader, Torbay Council (SD) </w:t>
      </w:r>
    </w:p>
    <w:bookmarkEnd w:id="0"/>
    <w:p w14:paraId="16EF2008" w14:textId="77777777" w:rsidR="00BA611D" w:rsidRDefault="00BA611D" w:rsidP="00BA611D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Stuart Brocklehurst – Chief Executive, Applegate (SB) </w:t>
      </w:r>
    </w:p>
    <w:p w14:paraId="7D5A3BCD" w14:textId="06EA7199" w:rsidR="00576C4E" w:rsidRDefault="00576C4E" w:rsidP="00576C4E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Tracey Lee – Chief Executive, Plymouth City Council, as alternate for Cllr Richard Bingley (TL) </w:t>
      </w:r>
    </w:p>
    <w:p w14:paraId="65520662" w14:textId="77777777" w:rsidR="00DA6AB9" w:rsidRDefault="00DA6AB9" w:rsidP="00DA6AB9">
      <w:pPr>
        <w:spacing w:line="240" w:lineRule="atLeast"/>
        <w:rPr>
          <w:rFonts w:asciiTheme="majorHAnsi" w:hAnsiTheme="majorHAnsi" w:cstheme="majorHAnsi"/>
        </w:rPr>
      </w:pPr>
      <w:bookmarkStart w:id="1" w:name="_Hlk117784953"/>
      <w:r>
        <w:rPr>
          <w:rFonts w:asciiTheme="majorHAnsi" w:hAnsiTheme="majorHAnsi" w:cstheme="majorHAnsi"/>
        </w:rPr>
        <w:t>Vince Flower – Non-Exec Director (VF)</w:t>
      </w:r>
    </w:p>
    <w:bookmarkEnd w:id="1"/>
    <w:p w14:paraId="1CECD59C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</w:p>
    <w:p w14:paraId="44CB78E5" w14:textId="77777777" w:rsidR="00F836F0" w:rsidRDefault="00F836F0" w:rsidP="00F836F0">
      <w:pPr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Officers in attendance:</w:t>
      </w:r>
    </w:p>
    <w:p w14:paraId="1CE5DF7C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David Ralph – Chief Executive, HotSW LEP (CG)</w:t>
      </w:r>
    </w:p>
    <w:p w14:paraId="39BB4D2C" w14:textId="77777777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Eifion Jones – COO, HotSW LEP (EJ)  </w:t>
      </w:r>
    </w:p>
    <w:p w14:paraId="3DD344E0" w14:textId="0E63B3A7" w:rsidR="0071356D" w:rsidRDefault="0071356D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Claire Gibson – Head of Delivery, HotSW LEP (CG) </w:t>
      </w:r>
    </w:p>
    <w:p w14:paraId="618C6281" w14:textId="55BEA99C" w:rsidR="00F836F0" w:rsidRDefault="0071356D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Janet Powell – Executive Assistant, HotSW LEP (for minutes) </w:t>
      </w:r>
    </w:p>
    <w:p w14:paraId="07EF40E7" w14:textId="63B5D682" w:rsidR="00375968" w:rsidRDefault="00375968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Karime Hassan </w:t>
      </w:r>
      <w:proofErr w:type="gramStart"/>
      <w:r>
        <w:rPr>
          <w:rFonts w:asciiTheme="majorHAnsi" w:hAnsiTheme="majorHAnsi" w:cstheme="majorHAnsi"/>
        </w:rPr>
        <w:t xml:space="preserve">-  </w:t>
      </w:r>
      <w:r w:rsidR="000D6278" w:rsidRPr="000D6278">
        <w:rPr>
          <w:rFonts w:asciiTheme="majorHAnsi" w:hAnsiTheme="majorHAnsi" w:cstheme="majorHAnsi"/>
        </w:rPr>
        <w:t>Chief</w:t>
      </w:r>
      <w:proofErr w:type="gramEnd"/>
      <w:r w:rsidR="000D6278" w:rsidRPr="000D6278">
        <w:rPr>
          <w:rFonts w:asciiTheme="majorHAnsi" w:hAnsiTheme="majorHAnsi" w:cstheme="majorHAnsi"/>
        </w:rPr>
        <w:t xml:space="preserve"> Executive &amp; Growth Director</w:t>
      </w:r>
      <w:r w:rsidR="000D6278">
        <w:rPr>
          <w:rFonts w:asciiTheme="majorHAnsi" w:hAnsiTheme="majorHAnsi" w:cstheme="majorHAnsi"/>
        </w:rPr>
        <w:t>, Exeter City Council, accompanying Cllr Phil Bial</w:t>
      </w:r>
      <w:r w:rsidR="005D459C">
        <w:rPr>
          <w:rFonts w:asciiTheme="majorHAnsi" w:hAnsiTheme="majorHAnsi" w:cstheme="majorHAnsi"/>
        </w:rPr>
        <w:t xml:space="preserve">yk </w:t>
      </w:r>
    </w:p>
    <w:p w14:paraId="0D31BE01" w14:textId="4551E6D6" w:rsidR="008A495B" w:rsidRDefault="008A495B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Mel Roberts - </w:t>
      </w:r>
      <w:r w:rsidR="00F63E90" w:rsidRPr="00F63E90">
        <w:rPr>
          <w:rFonts w:asciiTheme="majorHAnsi" w:hAnsiTheme="majorHAnsi" w:cstheme="majorHAnsi"/>
        </w:rPr>
        <w:t xml:space="preserve">Service Manager </w:t>
      </w:r>
      <w:r w:rsidR="000651BA">
        <w:rPr>
          <w:rFonts w:asciiTheme="majorHAnsi" w:hAnsiTheme="majorHAnsi" w:cstheme="majorHAnsi"/>
        </w:rPr>
        <w:t>–</w:t>
      </w:r>
      <w:r w:rsidR="00F63E90" w:rsidRPr="00F63E90">
        <w:rPr>
          <w:rFonts w:asciiTheme="majorHAnsi" w:hAnsiTheme="majorHAnsi" w:cstheme="majorHAnsi"/>
        </w:rPr>
        <w:t xml:space="preserve"> Economy</w:t>
      </w:r>
      <w:r w:rsidR="000651BA">
        <w:rPr>
          <w:rFonts w:asciiTheme="majorHAnsi" w:hAnsiTheme="majorHAnsi" w:cstheme="majorHAnsi"/>
        </w:rPr>
        <w:t>, Somerset County Council, accompanying Cllr David Woan</w:t>
      </w:r>
    </w:p>
    <w:p w14:paraId="0EF495C9" w14:textId="77777777" w:rsidR="00F836F0" w:rsidRDefault="00F836F0" w:rsidP="00F836F0">
      <w:pPr>
        <w:spacing w:line="240" w:lineRule="atLeast"/>
        <w:rPr>
          <w:rFonts w:asciiTheme="majorHAnsi" w:hAnsiTheme="majorHAnsi" w:cstheme="majorHAnsi"/>
          <w:b/>
        </w:rPr>
      </w:pPr>
    </w:p>
    <w:p w14:paraId="5822F31F" w14:textId="77777777" w:rsidR="00F836F0" w:rsidRDefault="00F836F0" w:rsidP="00F836F0">
      <w:pPr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Apologies:</w:t>
      </w:r>
    </w:p>
    <w:p w14:paraId="2B646955" w14:textId="5665B838" w:rsidR="00C33470" w:rsidRDefault="00C33470" w:rsidP="00C3347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 Laramy CBE - Principal &amp; CEO, Exeter College (JL)</w:t>
      </w:r>
      <w:r w:rsidR="00870222">
        <w:rPr>
          <w:rFonts w:asciiTheme="majorHAnsi" w:hAnsiTheme="majorHAnsi" w:cstheme="majorHAnsi"/>
        </w:rPr>
        <w:t xml:space="preserve"> proxy vote given to Karl Tucker </w:t>
      </w:r>
    </w:p>
    <w:p w14:paraId="566B6D22" w14:textId="2C878C79" w:rsidR="00F836F0" w:rsidRDefault="00F836F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 Lisa Roberts – Vice-Chancellor, University of Exeter (LR)</w:t>
      </w:r>
      <w:r w:rsidR="0098481A">
        <w:rPr>
          <w:rFonts w:asciiTheme="majorHAnsi" w:hAnsiTheme="majorHAnsi" w:cstheme="majorHAnsi"/>
        </w:rPr>
        <w:t xml:space="preserve"> proxy vote given to Karl Tucker </w:t>
      </w:r>
    </w:p>
    <w:p w14:paraId="5266C8EC" w14:textId="2FC5C2CB" w:rsidR="00632850" w:rsidRDefault="00632850" w:rsidP="00F836F0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Paul Crawford – Chief Executive, </w:t>
      </w:r>
      <w:proofErr w:type="spellStart"/>
      <w:r>
        <w:rPr>
          <w:rFonts w:asciiTheme="majorHAnsi" w:hAnsiTheme="majorHAnsi" w:cstheme="majorHAnsi"/>
        </w:rPr>
        <w:t>LiveWest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PCrawford</w:t>
      </w:r>
      <w:proofErr w:type="spellEnd"/>
      <w:r>
        <w:rPr>
          <w:rFonts w:asciiTheme="majorHAnsi" w:hAnsiTheme="majorHAnsi" w:cstheme="majorHAnsi"/>
        </w:rPr>
        <w:t xml:space="preserve">) proxy vote given to Karl Tucker </w:t>
      </w:r>
    </w:p>
    <w:p w14:paraId="10D2F2FB" w14:textId="17E50DC4" w:rsidR="00576C4E" w:rsidRDefault="00576C4E" w:rsidP="00576C4E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 Richard Bingley – Leader, Plymouth City Council (RB)</w:t>
      </w:r>
      <w:r w:rsidR="009A42A2">
        <w:rPr>
          <w:rFonts w:asciiTheme="majorHAnsi" w:hAnsiTheme="majorHAnsi" w:cstheme="majorHAnsi"/>
        </w:rPr>
        <w:t xml:space="preserve"> alternate Tracey Lee attending </w:t>
      </w:r>
    </w:p>
    <w:p w14:paraId="2B7B2E54" w14:textId="7E3504C7" w:rsidR="009A42A2" w:rsidRDefault="009A42A2" w:rsidP="009A42A2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Richard Stevens – Managing Director, Go </w:t>
      </w:r>
      <w:proofErr w:type="gramStart"/>
      <w:r>
        <w:rPr>
          <w:rFonts w:asciiTheme="majorHAnsi" w:hAnsiTheme="majorHAnsi" w:cstheme="majorHAnsi"/>
        </w:rPr>
        <w:t>South West</w:t>
      </w:r>
      <w:proofErr w:type="gramEnd"/>
      <w:r>
        <w:rPr>
          <w:rFonts w:asciiTheme="majorHAnsi" w:hAnsiTheme="majorHAnsi" w:cstheme="majorHAnsi"/>
        </w:rPr>
        <w:t xml:space="preserve"> (RS) proxy vote given to Karl Tucker </w:t>
      </w:r>
    </w:p>
    <w:p w14:paraId="35B5E6E9" w14:textId="77777777" w:rsidR="00040152" w:rsidRDefault="009A42A2" w:rsidP="00DA6AB9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Cllr Steve Darling – Leader, Torbay Council (SD) proxy vote given to Karl Tucker </w:t>
      </w:r>
    </w:p>
    <w:p w14:paraId="786E0803" w14:textId="4CDC2CF7" w:rsidR="00DA6AB9" w:rsidRDefault="00DA6AB9" w:rsidP="00DA6AB9">
      <w:p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 Val Keitch – Leader, South Somerset Council (VK)</w:t>
      </w:r>
      <w:r w:rsidR="00CF2C4E">
        <w:rPr>
          <w:rFonts w:asciiTheme="majorHAnsi" w:hAnsiTheme="majorHAnsi" w:cstheme="majorHAnsi"/>
        </w:rPr>
        <w:t xml:space="preserve"> proxy vote given to Karl Tucker </w:t>
      </w:r>
      <w:r>
        <w:rPr>
          <w:rFonts w:asciiTheme="majorHAnsi" w:hAnsiTheme="majorHAnsi" w:cstheme="majorHAnsi"/>
        </w:rPr>
        <w:t xml:space="preserve"> </w:t>
      </w:r>
    </w:p>
    <w:p w14:paraId="45D30ABA" w14:textId="77777777" w:rsidR="00040152" w:rsidRDefault="00040152" w:rsidP="00DA6AB9">
      <w:pPr>
        <w:spacing w:line="240" w:lineRule="atLeast"/>
        <w:rPr>
          <w:rFonts w:asciiTheme="majorHAnsi" w:hAnsiTheme="majorHAnsi" w:cstheme="majorHAnsi"/>
        </w:rPr>
      </w:pPr>
    </w:p>
    <w:p w14:paraId="13F07BE9" w14:textId="77777777" w:rsidR="00F710EF" w:rsidRDefault="00F710EF" w:rsidP="00DA6AB9">
      <w:pPr>
        <w:spacing w:line="240" w:lineRule="atLeast"/>
        <w:rPr>
          <w:rFonts w:asciiTheme="majorHAnsi" w:hAnsiTheme="majorHAnsi" w:cstheme="majorHAnsi"/>
        </w:rPr>
      </w:pPr>
    </w:p>
    <w:p w14:paraId="08319BBF" w14:textId="77777777" w:rsidR="00F710EF" w:rsidRDefault="00F710EF" w:rsidP="00DA6AB9">
      <w:pPr>
        <w:spacing w:line="240" w:lineRule="atLeast"/>
        <w:rPr>
          <w:rFonts w:asciiTheme="majorHAnsi" w:hAnsiTheme="majorHAnsi" w:cstheme="majorHAnsi"/>
        </w:rPr>
      </w:pPr>
    </w:p>
    <w:p w14:paraId="3C01BAB9" w14:textId="77777777" w:rsidR="00A95332" w:rsidRDefault="00A95332" w:rsidP="00F836F0">
      <w:pPr>
        <w:spacing w:line="240" w:lineRule="atLeast"/>
        <w:rPr>
          <w:rFonts w:asciiTheme="majorHAnsi" w:hAnsiTheme="majorHAnsi" w:cstheme="majorHAnsi"/>
          <w:bCs/>
        </w:rPr>
      </w:pPr>
    </w:p>
    <w:tbl>
      <w:tblPr>
        <w:tblStyle w:val="TableGrid1"/>
        <w:tblW w:w="10916" w:type="dxa"/>
        <w:tblInd w:w="-85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8A3E9C" w14:paraId="09FDE9CD" w14:textId="21B49FD9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BDD" w14:textId="49F00FE9" w:rsidR="002B421A" w:rsidRDefault="00FF3B68" w:rsidP="00BD2B13">
            <w:pPr>
              <w:pStyle w:val="Defaul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Agenda </w:t>
            </w:r>
          </w:p>
          <w:p w14:paraId="79CF97AC" w14:textId="7C1FB08E" w:rsidR="002B421A" w:rsidRPr="002B421A" w:rsidRDefault="002B421A" w:rsidP="002B421A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r w:rsidRPr="002B421A">
              <w:rPr>
                <w:rFonts w:asciiTheme="majorHAnsi" w:hAnsiTheme="majorHAnsi" w:cstheme="majorHAnsi"/>
                <w:sz w:val="23"/>
                <w:szCs w:val="23"/>
              </w:rPr>
              <w:t xml:space="preserve">A copy of the agenda, previous minutes from AGM </w:t>
            </w:r>
            <w:r w:rsidR="00536EB0">
              <w:rPr>
                <w:rFonts w:asciiTheme="majorHAnsi" w:hAnsiTheme="majorHAnsi" w:cstheme="majorHAnsi"/>
                <w:sz w:val="23"/>
                <w:szCs w:val="23"/>
              </w:rPr>
              <w:t>22 October</w:t>
            </w:r>
            <w:r w:rsidRPr="002B421A">
              <w:rPr>
                <w:rFonts w:asciiTheme="majorHAnsi" w:hAnsiTheme="majorHAnsi" w:cstheme="majorHAnsi"/>
                <w:sz w:val="23"/>
                <w:szCs w:val="23"/>
              </w:rPr>
              <w:t xml:space="preserve"> 202</w:t>
            </w:r>
            <w:r w:rsidR="00536EB0">
              <w:rPr>
                <w:rFonts w:asciiTheme="majorHAnsi" w:hAnsiTheme="majorHAnsi" w:cstheme="majorHAnsi"/>
                <w:sz w:val="23"/>
                <w:szCs w:val="23"/>
              </w:rPr>
              <w:t>1</w:t>
            </w:r>
            <w:r w:rsidRPr="002B421A">
              <w:rPr>
                <w:rFonts w:asciiTheme="majorHAnsi" w:hAnsiTheme="majorHAnsi" w:cstheme="majorHAnsi"/>
                <w:sz w:val="23"/>
                <w:szCs w:val="23"/>
              </w:rPr>
              <w:t xml:space="preserve">, Chair’s Annual Report, the accounts and a financial statement were contained via a link within the webinar </w:t>
            </w:r>
            <w:proofErr w:type="gramStart"/>
            <w:r w:rsidRPr="002B421A">
              <w:rPr>
                <w:rFonts w:asciiTheme="majorHAnsi" w:hAnsiTheme="majorHAnsi" w:cstheme="majorHAnsi"/>
                <w:sz w:val="23"/>
                <w:szCs w:val="23"/>
              </w:rPr>
              <w:t>registration</w:t>
            </w:r>
            <w:proofErr w:type="gramEnd"/>
            <w:r w:rsidRPr="002B421A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5956759F" w14:textId="77777777" w:rsidR="00B447E9" w:rsidRDefault="002B421A" w:rsidP="001E534B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r w:rsidRPr="002B421A">
              <w:rPr>
                <w:rFonts w:asciiTheme="majorHAnsi" w:hAnsiTheme="majorHAnsi" w:cstheme="majorHAnsi"/>
                <w:sz w:val="23"/>
                <w:szCs w:val="23"/>
              </w:rPr>
              <w:t xml:space="preserve">details, plus published on the Heart of the South West Local Enterprise Partnership (HotSW LEP) website under the LEP Board minutes and documents page </w:t>
            </w:r>
            <w:hyperlink r:id="rId10" w:history="1">
              <w:r w:rsidR="001E534B" w:rsidRPr="001E534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here</w:t>
              </w:r>
            </w:hyperlink>
          </w:p>
          <w:p w14:paraId="0B45A5FF" w14:textId="758DBB46" w:rsidR="002B421A" w:rsidRPr="008A3E9C" w:rsidRDefault="001E534B" w:rsidP="001E534B">
            <w:pPr>
              <w:pStyle w:val="Defaul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799" w14:textId="23CFE931" w:rsidR="008A3E9C" w:rsidRPr="008B0F2B" w:rsidRDefault="008A3E9C" w:rsidP="008A3E9C">
            <w:pPr>
              <w:spacing w:line="24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8B0F2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Actio</w:t>
            </w:r>
            <w:r w:rsidR="00BD2B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n</w:t>
            </w:r>
          </w:p>
        </w:tc>
      </w:tr>
      <w:tr w:rsidR="008A3E9C" w:rsidRPr="00B06486" w14:paraId="56A592FC" w14:textId="7C7C3D65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FDB" w14:textId="77777777" w:rsidR="008A3E9C" w:rsidRPr="00B06486" w:rsidRDefault="008A3E9C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 w:rsidRPr="00B06486"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Welcome &amp; Apologies </w:t>
            </w:r>
          </w:p>
          <w:p w14:paraId="6B8A9FAC" w14:textId="0D1C0ED3" w:rsidR="00FF3B68" w:rsidRPr="00FF3B68" w:rsidRDefault="00FF3B68" w:rsidP="00FF3B68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r w:rsidRPr="00FF3B68">
              <w:rPr>
                <w:rFonts w:asciiTheme="majorHAnsi" w:hAnsiTheme="majorHAnsi" w:cstheme="majorHAnsi"/>
                <w:sz w:val="23"/>
                <w:szCs w:val="23"/>
              </w:rPr>
              <w:t xml:space="preserve">The Chair welcomed everyone </w:t>
            </w:r>
            <w:r w:rsidR="00A65807">
              <w:rPr>
                <w:rFonts w:asciiTheme="majorHAnsi" w:hAnsiTheme="majorHAnsi" w:cstheme="majorHAnsi"/>
                <w:sz w:val="23"/>
                <w:szCs w:val="23"/>
              </w:rPr>
              <w:t xml:space="preserve">to the Future Skills Centre </w:t>
            </w:r>
            <w:r w:rsidR="00252303">
              <w:rPr>
                <w:rFonts w:asciiTheme="majorHAnsi" w:hAnsiTheme="majorHAnsi" w:cstheme="majorHAnsi"/>
                <w:sz w:val="23"/>
                <w:szCs w:val="23"/>
              </w:rPr>
              <w:t xml:space="preserve">run by Exeter College and </w:t>
            </w:r>
            <w:r w:rsidR="00A65807">
              <w:rPr>
                <w:rFonts w:asciiTheme="majorHAnsi" w:hAnsiTheme="majorHAnsi" w:cstheme="majorHAnsi"/>
                <w:sz w:val="23"/>
                <w:szCs w:val="23"/>
              </w:rPr>
              <w:t xml:space="preserve">funded by the LEP </w:t>
            </w:r>
            <w:r w:rsidR="0030200E">
              <w:rPr>
                <w:rFonts w:asciiTheme="majorHAnsi" w:hAnsiTheme="majorHAnsi" w:cstheme="majorHAnsi"/>
                <w:sz w:val="23"/>
                <w:szCs w:val="23"/>
              </w:rPr>
              <w:t>and thanked everyone who had joined on line as well as the Board members that have stayed on for the AGM.</w:t>
            </w:r>
            <w:r w:rsidRPr="00FF3B68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12761237" w14:textId="401C70E3" w:rsidR="008A3E9C" w:rsidRPr="00B06486" w:rsidRDefault="008A3E9C" w:rsidP="008A3E9C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 w:rsidRPr="00FF3B68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Apologies as above.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BB6" w14:textId="77777777" w:rsidR="008A3E9C" w:rsidRPr="00B06486" w:rsidRDefault="008A3E9C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314BC7" w:rsidRPr="00B06486" w14:paraId="6B121FB2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9D9" w14:textId="37281010" w:rsidR="00314BC7" w:rsidRDefault="00314BC7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Draft minutes of last AGM </w:t>
            </w:r>
            <w:r w:rsidR="00536EB0"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22 </w:t>
            </w: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October 202</w:t>
            </w:r>
            <w:r w:rsidR="00536EB0"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1</w:t>
            </w:r>
          </w:p>
          <w:p w14:paraId="75E43D42" w14:textId="2D667D51" w:rsidR="00314BC7" w:rsidRPr="00366366" w:rsidRDefault="009005E6" w:rsidP="00ED309D">
            <w:pPr>
              <w:pStyle w:val="Default"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 w:rsidRPr="00ED309D">
              <w:rPr>
                <w:rFonts w:asciiTheme="majorHAnsi" w:hAnsiTheme="majorHAnsi" w:cstheme="majorHAnsi"/>
                <w:sz w:val="24"/>
                <w:szCs w:val="24"/>
              </w:rPr>
              <w:t xml:space="preserve">There were no actions </w:t>
            </w:r>
            <w:r w:rsidR="002A5133">
              <w:rPr>
                <w:rFonts w:asciiTheme="majorHAnsi" w:hAnsiTheme="majorHAnsi" w:cstheme="majorHAnsi"/>
                <w:sz w:val="24"/>
                <w:szCs w:val="24"/>
              </w:rPr>
              <w:t xml:space="preserve">or comments </w:t>
            </w:r>
            <w:r w:rsidRPr="00ED309D">
              <w:rPr>
                <w:rFonts w:asciiTheme="majorHAnsi" w:hAnsiTheme="majorHAnsi" w:cstheme="majorHAnsi"/>
                <w:sz w:val="24"/>
                <w:szCs w:val="24"/>
              </w:rPr>
              <w:t xml:space="preserve">from the last </w:t>
            </w:r>
            <w:proofErr w:type="gramStart"/>
            <w:r w:rsidRPr="00ED309D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  <w:proofErr w:type="gramEnd"/>
            <w:r w:rsidRPr="00ED309D">
              <w:rPr>
                <w:rFonts w:asciiTheme="majorHAnsi" w:hAnsiTheme="majorHAnsi" w:cstheme="majorHAnsi"/>
                <w:sz w:val="24"/>
                <w:szCs w:val="24"/>
              </w:rPr>
              <w:t xml:space="preserve"> and it was noted the minutes were a true and an accurate record of the meeting.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3D0" w14:textId="77777777" w:rsidR="00314BC7" w:rsidRPr="00B06486" w:rsidRDefault="00314BC7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DF6810" w:rsidRPr="00B06486" w14:paraId="06EC464B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AC0" w14:textId="77777777" w:rsidR="00DF6810" w:rsidRDefault="00DF6810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Chair’s Annual Report – includes a summary of the LEP, it’s projects, achievements and end of year </w:t>
            </w:r>
            <w:proofErr w:type="gramStart"/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report</w:t>
            </w:r>
            <w:proofErr w:type="gramEnd"/>
          </w:p>
          <w:p w14:paraId="37A89013" w14:textId="77777777" w:rsidR="0065528D" w:rsidRDefault="0065528D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6A5489" w14:textId="10696DDE" w:rsidR="00A06EE0" w:rsidRDefault="00797DCB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  <w:r w:rsidRPr="008A3E9C">
              <w:rPr>
                <w:rFonts w:asciiTheme="majorHAnsi" w:hAnsiTheme="majorHAnsi" w:cstheme="majorHAnsi"/>
                <w:sz w:val="24"/>
                <w:szCs w:val="24"/>
              </w:rPr>
              <w:t xml:space="preserve">A short video was played to </w:t>
            </w:r>
            <w:r w:rsidR="008D07E3">
              <w:rPr>
                <w:rFonts w:asciiTheme="majorHAnsi" w:hAnsiTheme="majorHAnsi" w:cstheme="majorHAnsi"/>
                <w:sz w:val="24"/>
                <w:szCs w:val="24"/>
              </w:rPr>
              <w:t xml:space="preserve">highlight </w:t>
            </w:r>
            <w:r w:rsidR="008C7BDF">
              <w:rPr>
                <w:rFonts w:asciiTheme="majorHAnsi" w:hAnsiTheme="majorHAnsi" w:cstheme="majorHAnsi"/>
                <w:sz w:val="24"/>
                <w:szCs w:val="24"/>
              </w:rPr>
              <w:t xml:space="preserve">some of </w:t>
            </w:r>
            <w:r w:rsidRPr="008A3E9C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726F0A">
              <w:rPr>
                <w:rFonts w:asciiTheme="majorHAnsi" w:hAnsiTheme="majorHAnsi" w:cstheme="majorHAnsi"/>
                <w:sz w:val="24"/>
                <w:szCs w:val="24"/>
              </w:rPr>
              <w:t>work of the LEP</w:t>
            </w:r>
            <w:r w:rsidR="008D07E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04C9D851" w14:textId="77777777" w:rsidR="00A06EE0" w:rsidRDefault="00A06EE0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0C6F0F" w14:textId="0F6AC26F" w:rsidR="00D95596" w:rsidRDefault="00D3539B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726F0A">
              <w:rPr>
                <w:rFonts w:asciiTheme="majorHAnsi" w:hAnsiTheme="majorHAnsi" w:cstheme="majorHAnsi"/>
                <w:sz w:val="24"/>
                <w:szCs w:val="24"/>
              </w:rPr>
              <w:t xml:space="preserve">pre-recorded video of the Chair’s annual </w:t>
            </w:r>
            <w:r w:rsidR="008C7BDF">
              <w:rPr>
                <w:rFonts w:asciiTheme="majorHAnsi" w:hAnsiTheme="majorHAnsi" w:cstheme="majorHAnsi"/>
                <w:sz w:val="24"/>
                <w:szCs w:val="24"/>
              </w:rPr>
              <w:t xml:space="preserve">speech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was then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shown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278844" w14:textId="2632CDC3" w:rsidR="00797DCB" w:rsidRDefault="00026C46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="00E30061" w:rsidRPr="00E300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https://heartofswlep.co.uk/wp-content/uploads/2022/10/HotSW-LEP-2022-AGM-v1.mp4</w:t>
              </w:r>
            </w:hyperlink>
          </w:p>
          <w:p w14:paraId="6AA3FF68" w14:textId="77777777" w:rsidR="00A808DB" w:rsidRDefault="00A808DB" w:rsidP="00241A51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817BD2" w14:textId="77777777" w:rsidR="00A808DB" w:rsidRDefault="00235B1B" w:rsidP="0084454D">
            <w:pPr>
              <w:pStyle w:val="Default"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The annual report can be viewed </w:t>
            </w:r>
            <w:proofErr w:type="gramStart"/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here:-</w:t>
            </w:r>
            <w:proofErr w:type="gramEnd"/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</w:t>
            </w:r>
          </w:p>
          <w:p w14:paraId="02BBF5E5" w14:textId="77777777" w:rsidR="00AA2A27" w:rsidRPr="00AA2A27" w:rsidRDefault="00026C46" w:rsidP="00AA2A2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2" w:history="1">
              <w:r w:rsidR="00AA2A27" w:rsidRPr="00AA2A2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https://heartofswlep.co.uk/wp-content/uploads/2022/10/Heart-of-the-SW-LEP-Annual-Report-2021-22-2.pdf</w:t>
              </w:r>
            </w:hyperlink>
          </w:p>
          <w:p w14:paraId="7468E2A6" w14:textId="1F4FC96D" w:rsidR="00AA2A27" w:rsidRPr="00797DCB" w:rsidRDefault="00AA2A27" w:rsidP="0084454D">
            <w:pPr>
              <w:pStyle w:val="Default"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3BA" w14:textId="77777777" w:rsidR="00DF6810" w:rsidRPr="00B06486" w:rsidRDefault="00DF6810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4F1F8D" w:rsidRPr="00B06486" w14:paraId="2ADC6F0B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158" w14:textId="77777777" w:rsidR="004F1F8D" w:rsidRDefault="004F1F8D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Overview of LEP Financial Statement (published in the Annual Report) </w:t>
            </w:r>
          </w:p>
          <w:p w14:paraId="6C9712DD" w14:textId="77777777" w:rsidR="00945A43" w:rsidRDefault="00B71403" w:rsidP="00A06EE0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pre – recorded video of </w:t>
            </w:r>
            <w:r w:rsidR="00A06EE0">
              <w:rPr>
                <w:rFonts w:asciiTheme="majorHAnsi" w:hAnsiTheme="majorHAnsi" w:cstheme="majorHAnsi"/>
                <w:sz w:val="24"/>
                <w:szCs w:val="24"/>
              </w:rPr>
              <w:t xml:space="preserve">David Bird, the Chair of the LEP’s Strategic Investment Panel and Finance and Resources Committee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was shown presenting the </w:t>
            </w:r>
            <w:r w:rsidR="00945A43">
              <w:rPr>
                <w:rFonts w:asciiTheme="majorHAnsi" w:hAnsiTheme="majorHAnsi" w:cstheme="majorHAnsi"/>
                <w:sz w:val="24"/>
                <w:szCs w:val="24"/>
              </w:rPr>
              <w:t>LEP’s financial statement and can also be viewed here.</w:t>
            </w:r>
          </w:p>
          <w:p w14:paraId="22AD1C42" w14:textId="4C6D1328" w:rsidR="00A06EE0" w:rsidRDefault="00026C46" w:rsidP="002B5F3D">
            <w:pPr>
              <w:pStyle w:val="Default"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hyperlink r:id="rId13" w:history="1">
              <w:r w:rsidR="00945A43" w:rsidRPr="00E300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https://heartofswlep.co.uk/wp-content/uploads/2022/10/HotSW-LEP-2022-AGM-v1.mp4</w:t>
              </w:r>
            </w:hyperlink>
          </w:p>
          <w:p w14:paraId="07C37344" w14:textId="24F336B7" w:rsidR="002B5F3D" w:rsidRPr="002B5F3D" w:rsidRDefault="002B5F3D" w:rsidP="00A06EE0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 w:rsidRPr="002B5F3D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(</w:t>
            </w:r>
            <w:proofErr w:type="gramStart"/>
            <w:r w:rsidRPr="002B5F3D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please</w:t>
            </w:r>
            <w:proofErr w:type="gramEnd"/>
            <w:r w:rsidRPr="002B5F3D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scroll forward to 17 mins 30 seconds on the video)</w:t>
            </w:r>
          </w:p>
          <w:p w14:paraId="5309DD57" w14:textId="380B6BFC" w:rsidR="004F1F8D" w:rsidRDefault="004F1F8D" w:rsidP="004F1F8D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80F" w14:textId="77777777" w:rsidR="004F1F8D" w:rsidRPr="00B06486" w:rsidRDefault="004F1F8D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4F1F8D" w:rsidRPr="00B06486" w14:paraId="20FDE153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20E" w14:textId="6EE29182" w:rsidR="004F1F8D" w:rsidRDefault="004F1F8D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Adoption of Accounts 2012 – 2022</w:t>
            </w:r>
          </w:p>
          <w:p w14:paraId="61119309" w14:textId="45BFED8C" w:rsidR="00021259" w:rsidRPr="00021259" w:rsidRDefault="00021259" w:rsidP="00021259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David Bird asked the Board to formally adopt the </w:t>
            </w:r>
            <w:r w:rsidR="003202D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HotSW LEP CIC accounts</w:t>
            </w:r>
            <w:r w:rsidR="00206684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which were</w:t>
            </w:r>
            <w:r w:rsidR="003202D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proposed</w:t>
            </w:r>
            <w:r w:rsidR="00206684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, </w:t>
            </w:r>
            <w:proofErr w:type="gramStart"/>
            <w:r w:rsidR="00206684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seconded</w:t>
            </w:r>
            <w:proofErr w:type="gramEnd"/>
            <w:r w:rsidR="00206684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and adopted by all. </w:t>
            </w:r>
            <w:r w:rsidR="003202D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</w:t>
            </w:r>
          </w:p>
          <w:p w14:paraId="18668390" w14:textId="04E915E9" w:rsidR="004F1F8D" w:rsidRDefault="004F1F8D" w:rsidP="004F1F8D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C51" w14:textId="77777777" w:rsidR="004F1F8D" w:rsidRPr="00B06486" w:rsidRDefault="004F1F8D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4F1F8D" w:rsidRPr="00B06486" w14:paraId="66E94BE6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8A8" w14:textId="77777777" w:rsidR="004F1F8D" w:rsidRDefault="004F1F8D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Questions submitted in advance by the public and </w:t>
            </w:r>
            <w:proofErr w:type="gramStart"/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AOB</w:t>
            </w:r>
            <w:proofErr w:type="gramEnd"/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 </w:t>
            </w:r>
          </w:p>
          <w:p w14:paraId="3B484470" w14:textId="77777777" w:rsidR="00096645" w:rsidRDefault="00167892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The Chair asked if any questions had been submitted in advance by the public and there were none.  </w:t>
            </w:r>
          </w:p>
          <w:p w14:paraId="7D35A6F6" w14:textId="77777777" w:rsidR="00096645" w:rsidRDefault="00096645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</w:p>
          <w:p w14:paraId="00C57686" w14:textId="469FB5F5" w:rsidR="004F1F8D" w:rsidRDefault="00167892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Questions on the day via webinar chat</w:t>
            </w:r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which were answered by David Ralph, </w:t>
            </w:r>
            <w:proofErr w:type="gramStart"/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CEO:-</w:t>
            </w:r>
            <w:proofErr w:type="gramEnd"/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</w:t>
            </w:r>
          </w:p>
          <w:p w14:paraId="160EC227" w14:textId="77777777" w:rsidR="00167892" w:rsidRDefault="001007CC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proofErr w:type="gramStart"/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Q:</w:t>
            </w:r>
            <w:r w:rsidR="00167892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How</w:t>
            </w:r>
            <w:proofErr w:type="gramEnd"/>
            <w:r w:rsidR="00167892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confident is the LEP </w:t>
            </w:r>
            <w:r w:rsidR="009B656A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on the delivery of jobs and numbers </w:t>
            </w: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from its investments?</w:t>
            </w:r>
          </w:p>
          <w:p w14:paraId="78DF79A3" w14:textId="77777777" w:rsidR="003227F3" w:rsidRDefault="003227F3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A: </w:t>
            </w:r>
            <w:r w:rsidR="00E16D2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The annual report sets out where the money has been spent and the outputs but there is clearly a </w:t>
            </w:r>
            <w:proofErr w:type="spellStart"/>
            <w:r w:rsidR="00E16D2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timelag</w:t>
            </w:r>
            <w:proofErr w:type="spellEnd"/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on the outputs </w:t>
            </w:r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and </w:t>
            </w:r>
            <w:r w:rsidR="00A953C6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m</w:t>
            </w:r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ost of the </w:t>
            </w:r>
            <w:proofErr w:type="gramStart"/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spend</w:t>
            </w:r>
            <w:proofErr w:type="gramEnd"/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</w:t>
            </w:r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has been </w:t>
            </w:r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on capital projects</w:t>
            </w:r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of which</w:t>
            </w:r>
            <w:r w:rsidR="00A144C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99% has been a</w:t>
            </w:r>
            <w:r w:rsidR="0009664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llocated and committed</w:t>
            </w:r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.  </w:t>
            </w:r>
            <w:proofErr w:type="gramStart"/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However</w:t>
            </w:r>
            <w:proofErr w:type="gramEnd"/>
            <w:r w:rsidR="00CB3DE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with some </w:t>
            </w:r>
            <w:r w:rsidR="00096645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of the large infrastructure projects </w:t>
            </w:r>
            <w:r w:rsidR="007A66F0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it will take </w:t>
            </w:r>
            <w:r w:rsidR="00F23BA2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lastRenderedPageBreak/>
              <w:t xml:space="preserve">longer </w:t>
            </w:r>
            <w:r w:rsidR="007A66F0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to realise the jobs and houses </w:t>
            </w:r>
            <w:r w:rsidR="001550E3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with numbers </w:t>
            </w:r>
            <w:r w:rsidR="00605E73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more </w:t>
            </w:r>
            <w:r w:rsidR="007A66F0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likely to be by 2030</w:t>
            </w:r>
            <w:r w:rsidR="00605E73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rather</w:t>
            </w:r>
            <w:r w:rsidR="007A66F0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than 2025</w:t>
            </w:r>
            <w:r w:rsidR="001550E3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.  This is partly due to Covid</w:t>
            </w:r>
            <w:r w:rsidR="0076473C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</w:t>
            </w:r>
            <w:proofErr w:type="gramStart"/>
            <w:r w:rsidR="0076473C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and also</w:t>
            </w:r>
            <w:proofErr w:type="gramEnd"/>
            <w:r w:rsidR="0076473C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because the development on the back of the infrastructure projects has taken longer than envisaged </w:t>
            </w:r>
            <w:r w:rsidR="003D5456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(from the </w:t>
            </w:r>
            <w:r w:rsidR="00713398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original bids </w:t>
            </w:r>
            <w:r w:rsidR="00AC0FAC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of </w:t>
            </w:r>
            <w:r w:rsidR="00713398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6 or 7 years ago</w:t>
            </w:r>
            <w:r w:rsidR="003D5456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)</w:t>
            </w:r>
            <w:r w:rsidR="00713398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to secure the outputs</w:t>
            </w:r>
            <w:r w:rsidR="00D226C0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 but the original investment strategy was still sound. </w:t>
            </w:r>
          </w:p>
          <w:p w14:paraId="115765CC" w14:textId="6B8F9916" w:rsidR="00D226C0" w:rsidRPr="00167892" w:rsidRDefault="00D226C0" w:rsidP="00167892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81E" w14:textId="77777777" w:rsidR="004F1F8D" w:rsidRPr="00B06486" w:rsidRDefault="004F1F8D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  <w:tr w:rsidR="004F1F8D" w:rsidRPr="00B06486" w14:paraId="73D49196" w14:textId="77777777" w:rsidTr="008B0F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10E" w14:textId="77777777" w:rsidR="004F1F8D" w:rsidRDefault="004F1F8D" w:rsidP="008A3E9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  <w:proofErr w:type="gramStart"/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>Thanks</w:t>
            </w:r>
            <w:proofErr w:type="gramEnd"/>
            <w:r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  <w:t xml:space="preserve"> and close </w:t>
            </w:r>
          </w:p>
          <w:p w14:paraId="241BDB51" w14:textId="308891A2" w:rsidR="00F710EF" w:rsidRPr="00F710EF" w:rsidRDefault="00F710EF" w:rsidP="00F710EF">
            <w:pPr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</w:pPr>
            <w:r w:rsidRPr="00F710E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The Chair thanked everyone who had joined in person and </w:t>
            </w:r>
            <w:proofErr w:type="gramStart"/>
            <w:r w:rsidRPr="00F710E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>on line</w:t>
            </w:r>
            <w:proofErr w:type="gramEnd"/>
            <w:r w:rsidRPr="00F710EF">
              <w:rPr>
                <w:rFonts w:asciiTheme="majorHAnsi" w:eastAsia="Cambria" w:hAnsiTheme="majorHAnsi" w:cstheme="majorHAnsi"/>
                <w:bCs/>
                <w:color w:val="00000A"/>
                <w:sz w:val="24"/>
                <w:szCs w:val="24"/>
                <w:lang w:bidi="en-GB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E98" w14:textId="77777777" w:rsidR="004F1F8D" w:rsidRPr="00B06486" w:rsidRDefault="004F1F8D" w:rsidP="008A3E9C">
            <w:pPr>
              <w:pStyle w:val="ListParagraph"/>
              <w:widowControl w:val="0"/>
              <w:spacing w:line="240" w:lineRule="atLeast"/>
              <w:contextualSpacing/>
              <w:rPr>
                <w:rFonts w:asciiTheme="majorHAnsi" w:eastAsia="Cambria" w:hAnsiTheme="majorHAnsi" w:cstheme="majorHAnsi"/>
                <w:b/>
                <w:color w:val="00000A"/>
                <w:sz w:val="24"/>
                <w:szCs w:val="24"/>
                <w:lang w:bidi="en-GB"/>
              </w:rPr>
            </w:pPr>
          </w:p>
        </w:tc>
      </w:tr>
    </w:tbl>
    <w:p w14:paraId="3F8E52A5" w14:textId="22920FD9" w:rsidR="00C24D30" w:rsidRPr="001D48BE" w:rsidRDefault="00C24D30" w:rsidP="00AA2A27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C24D30" w:rsidRPr="001D48BE" w:rsidSect="009C3351">
      <w:headerReference w:type="default" r:id="rId14"/>
      <w:footerReference w:type="default" r:id="rId15"/>
      <w:pgSz w:w="11900" w:h="16840"/>
      <w:pgMar w:top="17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0284" w14:textId="77777777" w:rsidR="00611D0E" w:rsidRDefault="00611D0E" w:rsidP="006A3EA6">
      <w:r>
        <w:separator/>
      </w:r>
    </w:p>
  </w:endnote>
  <w:endnote w:type="continuationSeparator" w:id="0">
    <w:p w14:paraId="012C8977" w14:textId="77777777" w:rsidR="00611D0E" w:rsidRDefault="00611D0E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0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F702" w14:textId="6F0E671A" w:rsidR="00D502E3" w:rsidRDefault="00D502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12951" w14:textId="682C591A" w:rsidR="006A3EA6" w:rsidRDefault="006A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2FFD" w14:textId="77777777" w:rsidR="00611D0E" w:rsidRDefault="00611D0E" w:rsidP="006A3EA6">
      <w:r>
        <w:separator/>
      </w:r>
    </w:p>
  </w:footnote>
  <w:footnote w:type="continuationSeparator" w:id="0">
    <w:p w14:paraId="58D19F1B" w14:textId="77777777" w:rsidR="00611D0E" w:rsidRDefault="00611D0E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2B0" w14:textId="77777777" w:rsidR="006A3EA6" w:rsidRPr="006A3EA6" w:rsidRDefault="006A3EA6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6B9"/>
    <w:multiLevelType w:val="hybridMultilevel"/>
    <w:tmpl w:val="0D5CE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9AD"/>
    <w:multiLevelType w:val="hybridMultilevel"/>
    <w:tmpl w:val="3058226A"/>
    <w:lvl w:ilvl="0" w:tplc="C17E979C">
      <w:start w:val="1"/>
      <w:numFmt w:val="lowerRoman"/>
      <w:lvlText w:val="%1)"/>
      <w:lvlJc w:val="righ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3A8"/>
    <w:multiLevelType w:val="hybridMultilevel"/>
    <w:tmpl w:val="44CA7DFC"/>
    <w:lvl w:ilvl="0" w:tplc="E2649784">
      <w:numFmt w:val="bullet"/>
      <w:lvlText w:val=""/>
      <w:lvlJc w:val="left"/>
      <w:pPr>
        <w:ind w:left="720" w:hanging="360"/>
      </w:pPr>
      <w:rPr>
        <w:rFonts w:ascii="Wingdings" w:eastAsia="Cambria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E84"/>
    <w:multiLevelType w:val="multilevel"/>
    <w:tmpl w:val="5D12EDF4"/>
    <w:lvl w:ilvl="0">
      <w:start w:val="2"/>
      <w:numFmt w:val="decimal"/>
      <w:lvlText w:val="%1."/>
      <w:lvlJc w:val="left"/>
      <w:pPr>
        <w:ind w:left="75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b/>
      </w:rPr>
    </w:lvl>
  </w:abstractNum>
  <w:abstractNum w:abstractNumId="4" w15:restartNumberingAfterBreak="0">
    <w:nsid w:val="1BDE3BB2"/>
    <w:multiLevelType w:val="hybridMultilevel"/>
    <w:tmpl w:val="3500970A"/>
    <w:lvl w:ilvl="0" w:tplc="C34A7C26">
      <w:numFmt w:val="bullet"/>
      <w:lvlText w:val=""/>
      <w:lvlJc w:val="left"/>
      <w:pPr>
        <w:ind w:left="720" w:hanging="360"/>
      </w:pPr>
      <w:rPr>
        <w:rFonts w:ascii="Wingdings" w:eastAsia="Cambria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5E8"/>
    <w:multiLevelType w:val="hybridMultilevel"/>
    <w:tmpl w:val="AEE87BD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6CA"/>
    <w:multiLevelType w:val="multilevel"/>
    <w:tmpl w:val="0C5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D3DBB"/>
    <w:multiLevelType w:val="hybridMultilevel"/>
    <w:tmpl w:val="AEE87BD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2D43"/>
    <w:multiLevelType w:val="hybridMultilevel"/>
    <w:tmpl w:val="A3FC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50E85"/>
    <w:multiLevelType w:val="hybridMultilevel"/>
    <w:tmpl w:val="7BDABDCA"/>
    <w:lvl w:ilvl="0" w:tplc="A8FC3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5DF4"/>
    <w:multiLevelType w:val="multilevel"/>
    <w:tmpl w:val="5D12EDF4"/>
    <w:lvl w:ilvl="0">
      <w:start w:val="2"/>
      <w:numFmt w:val="decimal"/>
      <w:lvlText w:val="%1."/>
      <w:lvlJc w:val="left"/>
      <w:pPr>
        <w:ind w:left="75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b/>
      </w:rPr>
    </w:lvl>
  </w:abstractNum>
  <w:abstractNum w:abstractNumId="11" w15:restartNumberingAfterBreak="0">
    <w:nsid w:val="48B80D68"/>
    <w:multiLevelType w:val="hybridMultilevel"/>
    <w:tmpl w:val="ECB6B5C6"/>
    <w:lvl w:ilvl="0" w:tplc="97B6BCB4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D386D"/>
    <w:multiLevelType w:val="hybridMultilevel"/>
    <w:tmpl w:val="377E468C"/>
    <w:lvl w:ilvl="0" w:tplc="4430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9FE"/>
    <w:multiLevelType w:val="hybridMultilevel"/>
    <w:tmpl w:val="F30A53DC"/>
    <w:lvl w:ilvl="0" w:tplc="C85874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2840"/>
    <w:multiLevelType w:val="hybridMultilevel"/>
    <w:tmpl w:val="B262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AC5"/>
    <w:multiLevelType w:val="hybridMultilevel"/>
    <w:tmpl w:val="AEE87BD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23AB"/>
    <w:multiLevelType w:val="hybridMultilevel"/>
    <w:tmpl w:val="AEE87BD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6317">
    <w:abstractNumId w:val="8"/>
  </w:num>
  <w:num w:numId="2" w16cid:durableId="8148137">
    <w:abstractNumId w:val="14"/>
  </w:num>
  <w:num w:numId="3" w16cid:durableId="1277324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729982">
    <w:abstractNumId w:val="13"/>
  </w:num>
  <w:num w:numId="5" w16cid:durableId="1521310173">
    <w:abstractNumId w:val="1"/>
  </w:num>
  <w:num w:numId="6" w16cid:durableId="931663134">
    <w:abstractNumId w:val="9"/>
  </w:num>
  <w:num w:numId="7" w16cid:durableId="151992767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649207">
    <w:abstractNumId w:val="12"/>
  </w:num>
  <w:num w:numId="9" w16cid:durableId="341392748">
    <w:abstractNumId w:val="10"/>
  </w:num>
  <w:num w:numId="10" w16cid:durableId="1030304393">
    <w:abstractNumId w:val="4"/>
  </w:num>
  <w:num w:numId="11" w16cid:durableId="957296692">
    <w:abstractNumId w:val="2"/>
  </w:num>
  <w:num w:numId="12" w16cid:durableId="369914941">
    <w:abstractNumId w:val="6"/>
  </w:num>
  <w:num w:numId="13" w16cid:durableId="1513837301">
    <w:abstractNumId w:val="0"/>
  </w:num>
  <w:num w:numId="14" w16cid:durableId="1505781970">
    <w:abstractNumId w:val="15"/>
  </w:num>
  <w:num w:numId="15" w16cid:durableId="914895828">
    <w:abstractNumId w:val="5"/>
  </w:num>
  <w:num w:numId="16" w16cid:durableId="77295518">
    <w:abstractNumId w:val="16"/>
  </w:num>
  <w:num w:numId="17" w16cid:durableId="1886024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bAwtTA2NjIxN7VU0lEKTi0uzszPAykwMqwFAO3MtBwtAAAA"/>
  </w:docVars>
  <w:rsids>
    <w:rsidRoot w:val="006A3EA6"/>
    <w:rsid w:val="0000243B"/>
    <w:rsid w:val="00002828"/>
    <w:rsid w:val="0000456F"/>
    <w:rsid w:val="00013B80"/>
    <w:rsid w:val="00021259"/>
    <w:rsid w:val="00026C46"/>
    <w:rsid w:val="000270C5"/>
    <w:rsid w:val="000277E8"/>
    <w:rsid w:val="00037966"/>
    <w:rsid w:val="00040152"/>
    <w:rsid w:val="00040327"/>
    <w:rsid w:val="000651BA"/>
    <w:rsid w:val="00066D28"/>
    <w:rsid w:val="00070A7A"/>
    <w:rsid w:val="00074116"/>
    <w:rsid w:val="00076076"/>
    <w:rsid w:val="00076682"/>
    <w:rsid w:val="00081455"/>
    <w:rsid w:val="00085786"/>
    <w:rsid w:val="000914CB"/>
    <w:rsid w:val="00096645"/>
    <w:rsid w:val="000A0364"/>
    <w:rsid w:val="000A073C"/>
    <w:rsid w:val="000A1B61"/>
    <w:rsid w:val="000A5D80"/>
    <w:rsid w:val="000A7D75"/>
    <w:rsid w:val="000B3E6D"/>
    <w:rsid w:val="000B637A"/>
    <w:rsid w:val="000D1E92"/>
    <w:rsid w:val="000D6278"/>
    <w:rsid w:val="000D6948"/>
    <w:rsid w:val="000D6E8D"/>
    <w:rsid w:val="000D7D6D"/>
    <w:rsid w:val="000E3D32"/>
    <w:rsid w:val="000E72AD"/>
    <w:rsid w:val="001007CC"/>
    <w:rsid w:val="00107F61"/>
    <w:rsid w:val="00113FD9"/>
    <w:rsid w:val="001174EF"/>
    <w:rsid w:val="0012604C"/>
    <w:rsid w:val="00130B56"/>
    <w:rsid w:val="00133FAE"/>
    <w:rsid w:val="001434BD"/>
    <w:rsid w:val="001550E3"/>
    <w:rsid w:val="00157F34"/>
    <w:rsid w:val="00165818"/>
    <w:rsid w:val="00167892"/>
    <w:rsid w:val="0017043D"/>
    <w:rsid w:val="00180901"/>
    <w:rsid w:val="00182CD3"/>
    <w:rsid w:val="00184066"/>
    <w:rsid w:val="0019424E"/>
    <w:rsid w:val="001946E6"/>
    <w:rsid w:val="00196B48"/>
    <w:rsid w:val="001C04FB"/>
    <w:rsid w:val="001D01FC"/>
    <w:rsid w:val="001D2BD1"/>
    <w:rsid w:val="001D48BE"/>
    <w:rsid w:val="001E1989"/>
    <w:rsid w:val="001E497D"/>
    <w:rsid w:val="001E534B"/>
    <w:rsid w:val="001F11A5"/>
    <w:rsid w:val="001F156C"/>
    <w:rsid w:val="001F51E4"/>
    <w:rsid w:val="001F544D"/>
    <w:rsid w:val="00200176"/>
    <w:rsid w:val="002010C5"/>
    <w:rsid w:val="00204C85"/>
    <w:rsid w:val="0020552C"/>
    <w:rsid w:val="00206684"/>
    <w:rsid w:val="00207980"/>
    <w:rsid w:val="002113B9"/>
    <w:rsid w:val="002246C3"/>
    <w:rsid w:val="002263E5"/>
    <w:rsid w:val="00235B1B"/>
    <w:rsid w:val="00241A51"/>
    <w:rsid w:val="00245235"/>
    <w:rsid w:val="002463F9"/>
    <w:rsid w:val="00247835"/>
    <w:rsid w:val="00252303"/>
    <w:rsid w:val="0025248E"/>
    <w:rsid w:val="002570AA"/>
    <w:rsid w:val="00265917"/>
    <w:rsid w:val="0026596B"/>
    <w:rsid w:val="00273BC8"/>
    <w:rsid w:val="00280C43"/>
    <w:rsid w:val="00285385"/>
    <w:rsid w:val="002963C9"/>
    <w:rsid w:val="002A5133"/>
    <w:rsid w:val="002A54F6"/>
    <w:rsid w:val="002A7BAE"/>
    <w:rsid w:val="002B421A"/>
    <w:rsid w:val="002B5F3D"/>
    <w:rsid w:val="002C3680"/>
    <w:rsid w:val="002D07B6"/>
    <w:rsid w:val="002D70C1"/>
    <w:rsid w:val="002E1B67"/>
    <w:rsid w:val="002E7C53"/>
    <w:rsid w:val="002F445F"/>
    <w:rsid w:val="002F7298"/>
    <w:rsid w:val="0030200E"/>
    <w:rsid w:val="003145D6"/>
    <w:rsid w:val="00314BC7"/>
    <w:rsid w:val="003202D5"/>
    <w:rsid w:val="003227F3"/>
    <w:rsid w:val="00323AE0"/>
    <w:rsid w:val="00324ECC"/>
    <w:rsid w:val="00325C6F"/>
    <w:rsid w:val="003343AF"/>
    <w:rsid w:val="003412DD"/>
    <w:rsid w:val="00341BFF"/>
    <w:rsid w:val="00342CA7"/>
    <w:rsid w:val="00343400"/>
    <w:rsid w:val="00343634"/>
    <w:rsid w:val="00345860"/>
    <w:rsid w:val="0034664E"/>
    <w:rsid w:val="0036245C"/>
    <w:rsid w:val="00366366"/>
    <w:rsid w:val="0036735B"/>
    <w:rsid w:val="00375968"/>
    <w:rsid w:val="00383EA6"/>
    <w:rsid w:val="003856F7"/>
    <w:rsid w:val="003910F0"/>
    <w:rsid w:val="00393C52"/>
    <w:rsid w:val="003A462B"/>
    <w:rsid w:val="003B12ED"/>
    <w:rsid w:val="003B4948"/>
    <w:rsid w:val="003C4E58"/>
    <w:rsid w:val="003D5456"/>
    <w:rsid w:val="003D75BB"/>
    <w:rsid w:val="003E3077"/>
    <w:rsid w:val="003E4C89"/>
    <w:rsid w:val="003E52F8"/>
    <w:rsid w:val="003F2BCF"/>
    <w:rsid w:val="003F348F"/>
    <w:rsid w:val="003F4354"/>
    <w:rsid w:val="00410F06"/>
    <w:rsid w:val="00414157"/>
    <w:rsid w:val="00417DAB"/>
    <w:rsid w:val="00432DF3"/>
    <w:rsid w:val="0044244C"/>
    <w:rsid w:val="00447793"/>
    <w:rsid w:val="004552FF"/>
    <w:rsid w:val="0046091D"/>
    <w:rsid w:val="004702BE"/>
    <w:rsid w:val="00470545"/>
    <w:rsid w:val="0047238B"/>
    <w:rsid w:val="00476CAD"/>
    <w:rsid w:val="00482C40"/>
    <w:rsid w:val="004A0306"/>
    <w:rsid w:val="004A2FAD"/>
    <w:rsid w:val="004B0ABB"/>
    <w:rsid w:val="004B243C"/>
    <w:rsid w:val="004B534B"/>
    <w:rsid w:val="004C1307"/>
    <w:rsid w:val="004C6900"/>
    <w:rsid w:val="004F1F8D"/>
    <w:rsid w:val="004F6F11"/>
    <w:rsid w:val="0050145B"/>
    <w:rsid w:val="00503C3B"/>
    <w:rsid w:val="00506215"/>
    <w:rsid w:val="00507366"/>
    <w:rsid w:val="005076D4"/>
    <w:rsid w:val="005247BB"/>
    <w:rsid w:val="00526DC2"/>
    <w:rsid w:val="00532465"/>
    <w:rsid w:val="00536EB0"/>
    <w:rsid w:val="00541A84"/>
    <w:rsid w:val="00545729"/>
    <w:rsid w:val="00546AC5"/>
    <w:rsid w:val="005476D6"/>
    <w:rsid w:val="00552C02"/>
    <w:rsid w:val="00552DB2"/>
    <w:rsid w:val="005534B5"/>
    <w:rsid w:val="005610E4"/>
    <w:rsid w:val="005651B9"/>
    <w:rsid w:val="00572B12"/>
    <w:rsid w:val="00572C3E"/>
    <w:rsid w:val="00574989"/>
    <w:rsid w:val="00576C4E"/>
    <w:rsid w:val="0059168B"/>
    <w:rsid w:val="0059184A"/>
    <w:rsid w:val="00593F61"/>
    <w:rsid w:val="005A10B0"/>
    <w:rsid w:val="005A2B61"/>
    <w:rsid w:val="005B35F7"/>
    <w:rsid w:val="005B6853"/>
    <w:rsid w:val="005C0988"/>
    <w:rsid w:val="005C6999"/>
    <w:rsid w:val="005C6AFE"/>
    <w:rsid w:val="005D0213"/>
    <w:rsid w:val="005D459C"/>
    <w:rsid w:val="005D7883"/>
    <w:rsid w:val="005E29B4"/>
    <w:rsid w:val="005F0DC0"/>
    <w:rsid w:val="00605E73"/>
    <w:rsid w:val="00610A79"/>
    <w:rsid w:val="00611D0E"/>
    <w:rsid w:val="006125E9"/>
    <w:rsid w:val="00613A11"/>
    <w:rsid w:val="00615AE9"/>
    <w:rsid w:val="006251C2"/>
    <w:rsid w:val="00632850"/>
    <w:rsid w:val="00634212"/>
    <w:rsid w:val="006402B5"/>
    <w:rsid w:val="00641CA3"/>
    <w:rsid w:val="006439A4"/>
    <w:rsid w:val="0065528D"/>
    <w:rsid w:val="00665316"/>
    <w:rsid w:val="006743F3"/>
    <w:rsid w:val="00680741"/>
    <w:rsid w:val="00682AAA"/>
    <w:rsid w:val="006915F9"/>
    <w:rsid w:val="00692AEC"/>
    <w:rsid w:val="006A1E14"/>
    <w:rsid w:val="006A2B23"/>
    <w:rsid w:val="006A3EA6"/>
    <w:rsid w:val="006A77F5"/>
    <w:rsid w:val="006B336F"/>
    <w:rsid w:val="006C4ED2"/>
    <w:rsid w:val="006C6B33"/>
    <w:rsid w:val="006D6BA5"/>
    <w:rsid w:val="006E0DD0"/>
    <w:rsid w:val="006E13E1"/>
    <w:rsid w:val="006E1407"/>
    <w:rsid w:val="006E32BB"/>
    <w:rsid w:val="0070367E"/>
    <w:rsid w:val="0070392F"/>
    <w:rsid w:val="0071004E"/>
    <w:rsid w:val="00710C63"/>
    <w:rsid w:val="00713398"/>
    <w:rsid w:val="0071356D"/>
    <w:rsid w:val="00713A71"/>
    <w:rsid w:val="00717FB9"/>
    <w:rsid w:val="007231F6"/>
    <w:rsid w:val="00726BB2"/>
    <w:rsid w:val="00726F0A"/>
    <w:rsid w:val="007338D4"/>
    <w:rsid w:val="007338F8"/>
    <w:rsid w:val="00734A34"/>
    <w:rsid w:val="007417DD"/>
    <w:rsid w:val="00753A29"/>
    <w:rsid w:val="00764139"/>
    <w:rsid w:val="0076473C"/>
    <w:rsid w:val="00764803"/>
    <w:rsid w:val="00764A35"/>
    <w:rsid w:val="0076752F"/>
    <w:rsid w:val="00772DEE"/>
    <w:rsid w:val="00773DC1"/>
    <w:rsid w:val="0078365A"/>
    <w:rsid w:val="0078446F"/>
    <w:rsid w:val="00790C49"/>
    <w:rsid w:val="00790D0E"/>
    <w:rsid w:val="00795B71"/>
    <w:rsid w:val="00797DCB"/>
    <w:rsid w:val="007A38FD"/>
    <w:rsid w:val="007A4653"/>
    <w:rsid w:val="007A66F0"/>
    <w:rsid w:val="007A7592"/>
    <w:rsid w:val="007B04D0"/>
    <w:rsid w:val="007B6702"/>
    <w:rsid w:val="007B6D52"/>
    <w:rsid w:val="007C4BB1"/>
    <w:rsid w:val="007C554F"/>
    <w:rsid w:val="007D0C30"/>
    <w:rsid w:val="007D1F97"/>
    <w:rsid w:val="007F0065"/>
    <w:rsid w:val="007F299A"/>
    <w:rsid w:val="007F3F0F"/>
    <w:rsid w:val="0081467C"/>
    <w:rsid w:val="008204DF"/>
    <w:rsid w:val="00822B13"/>
    <w:rsid w:val="008235C3"/>
    <w:rsid w:val="0083204F"/>
    <w:rsid w:val="00832DC3"/>
    <w:rsid w:val="00840343"/>
    <w:rsid w:val="0084454D"/>
    <w:rsid w:val="008472E1"/>
    <w:rsid w:val="0084737C"/>
    <w:rsid w:val="008516DE"/>
    <w:rsid w:val="008536AC"/>
    <w:rsid w:val="0086028E"/>
    <w:rsid w:val="00870222"/>
    <w:rsid w:val="00871CB1"/>
    <w:rsid w:val="00872661"/>
    <w:rsid w:val="00875EF9"/>
    <w:rsid w:val="00877E4B"/>
    <w:rsid w:val="00883275"/>
    <w:rsid w:val="00883AB8"/>
    <w:rsid w:val="00897C14"/>
    <w:rsid w:val="008A3E9C"/>
    <w:rsid w:val="008A495B"/>
    <w:rsid w:val="008B0F2B"/>
    <w:rsid w:val="008B0F76"/>
    <w:rsid w:val="008C7BDF"/>
    <w:rsid w:val="008D07E3"/>
    <w:rsid w:val="008D63B5"/>
    <w:rsid w:val="008E2D32"/>
    <w:rsid w:val="008E491C"/>
    <w:rsid w:val="008E59C7"/>
    <w:rsid w:val="008F0AFF"/>
    <w:rsid w:val="008F0B69"/>
    <w:rsid w:val="008F64A6"/>
    <w:rsid w:val="008F6AF1"/>
    <w:rsid w:val="008F7044"/>
    <w:rsid w:val="008F7DB3"/>
    <w:rsid w:val="009005E6"/>
    <w:rsid w:val="009015A9"/>
    <w:rsid w:val="00905FCE"/>
    <w:rsid w:val="00917682"/>
    <w:rsid w:val="00917A85"/>
    <w:rsid w:val="00924ABF"/>
    <w:rsid w:val="0093326A"/>
    <w:rsid w:val="0093428C"/>
    <w:rsid w:val="00934466"/>
    <w:rsid w:val="0094557E"/>
    <w:rsid w:val="009455D2"/>
    <w:rsid w:val="00945A43"/>
    <w:rsid w:val="0095074E"/>
    <w:rsid w:val="00952EBB"/>
    <w:rsid w:val="009625EC"/>
    <w:rsid w:val="00963395"/>
    <w:rsid w:val="00971018"/>
    <w:rsid w:val="00974AA5"/>
    <w:rsid w:val="00975C29"/>
    <w:rsid w:val="00983EB2"/>
    <w:rsid w:val="0098481A"/>
    <w:rsid w:val="00992FD7"/>
    <w:rsid w:val="009A1DBB"/>
    <w:rsid w:val="009A29E1"/>
    <w:rsid w:val="009A42A2"/>
    <w:rsid w:val="009A459B"/>
    <w:rsid w:val="009B1CDE"/>
    <w:rsid w:val="009B656A"/>
    <w:rsid w:val="009C3351"/>
    <w:rsid w:val="009D2AA3"/>
    <w:rsid w:val="009D322A"/>
    <w:rsid w:val="009F6581"/>
    <w:rsid w:val="00A06EE0"/>
    <w:rsid w:val="00A07206"/>
    <w:rsid w:val="00A144CF"/>
    <w:rsid w:val="00A16C97"/>
    <w:rsid w:val="00A229DE"/>
    <w:rsid w:val="00A26460"/>
    <w:rsid w:val="00A31B77"/>
    <w:rsid w:val="00A3269D"/>
    <w:rsid w:val="00A32C6F"/>
    <w:rsid w:val="00A438C4"/>
    <w:rsid w:val="00A449C5"/>
    <w:rsid w:val="00A47187"/>
    <w:rsid w:val="00A518A6"/>
    <w:rsid w:val="00A55C2B"/>
    <w:rsid w:val="00A65807"/>
    <w:rsid w:val="00A66053"/>
    <w:rsid w:val="00A67362"/>
    <w:rsid w:val="00A706C6"/>
    <w:rsid w:val="00A75B93"/>
    <w:rsid w:val="00A808DB"/>
    <w:rsid w:val="00A85AE9"/>
    <w:rsid w:val="00A910EB"/>
    <w:rsid w:val="00A95332"/>
    <w:rsid w:val="00A953C6"/>
    <w:rsid w:val="00A95D8D"/>
    <w:rsid w:val="00A95ED5"/>
    <w:rsid w:val="00AA2A27"/>
    <w:rsid w:val="00AA3C9F"/>
    <w:rsid w:val="00AA7976"/>
    <w:rsid w:val="00AB036D"/>
    <w:rsid w:val="00AB222E"/>
    <w:rsid w:val="00AB26DB"/>
    <w:rsid w:val="00AB339F"/>
    <w:rsid w:val="00AB396D"/>
    <w:rsid w:val="00AB6CAD"/>
    <w:rsid w:val="00AC0FAC"/>
    <w:rsid w:val="00AC3095"/>
    <w:rsid w:val="00AC6ACB"/>
    <w:rsid w:val="00AD1261"/>
    <w:rsid w:val="00AD2966"/>
    <w:rsid w:val="00AE2D9D"/>
    <w:rsid w:val="00AE3B04"/>
    <w:rsid w:val="00AF194B"/>
    <w:rsid w:val="00AF6E11"/>
    <w:rsid w:val="00AF71DA"/>
    <w:rsid w:val="00B10B14"/>
    <w:rsid w:val="00B11841"/>
    <w:rsid w:val="00B161CF"/>
    <w:rsid w:val="00B17FEF"/>
    <w:rsid w:val="00B2056B"/>
    <w:rsid w:val="00B240AE"/>
    <w:rsid w:val="00B25396"/>
    <w:rsid w:val="00B26BD5"/>
    <w:rsid w:val="00B36ACA"/>
    <w:rsid w:val="00B447E9"/>
    <w:rsid w:val="00B4757F"/>
    <w:rsid w:val="00B47DBF"/>
    <w:rsid w:val="00B5129E"/>
    <w:rsid w:val="00B52460"/>
    <w:rsid w:val="00B53FDF"/>
    <w:rsid w:val="00B55B2A"/>
    <w:rsid w:val="00B60E9D"/>
    <w:rsid w:val="00B62D76"/>
    <w:rsid w:val="00B637EB"/>
    <w:rsid w:val="00B63D25"/>
    <w:rsid w:val="00B63D61"/>
    <w:rsid w:val="00B71403"/>
    <w:rsid w:val="00B72A13"/>
    <w:rsid w:val="00B864E8"/>
    <w:rsid w:val="00B95B8E"/>
    <w:rsid w:val="00BA1461"/>
    <w:rsid w:val="00BA611D"/>
    <w:rsid w:val="00BA68A1"/>
    <w:rsid w:val="00BB2F43"/>
    <w:rsid w:val="00BB3212"/>
    <w:rsid w:val="00BC11D0"/>
    <w:rsid w:val="00BC64A8"/>
    <w:rsid w:val="00BD2B13"/>
    <w:rsid w:val="00BD2BD9"/>
    <w:rsid w:val="00BE2EAF"/>
    <w:rsid w:val="00BE3560"/>
    <w:rsid w:val="00BF185E"/>
    <w:rsid w:val="00BF309E"/>
    <w:rsid w:val="00C068D0"/>
    <w:rsid w:val="00C1692D"/>
    <w:rsid w:val="00C24D30"/>
    <w:rsid w:val="00C303FF"/>
    <w:rsid w:val="00C31FE2"/>
    <w:rsid w:val="00C33470"/>
    <w:rsid w:val="00C535D8"/>
    <w:rsid w:val="00C54220"/>
    <w:rsid w:val="00C65B17"/>
    <w:rsid w:val="00C83E35"/>
    <w:rsid w:val="00C84A1C"/>
    <w:rsid w:val="00C87E3D"/>
    <w:rsid w:val="00C920BC"/>
    <w:rsid w:val="00C92BE9"/>
    <w:rsid w:val="00C9472C"/>
    <w:rsid w:val="00C969EB"/>
    <w:rsid w:val="00CB1682"/>
    <w:rsid w:val="00CB1C45"/>
    <w:rsid w:val="00CB3DE5"/>
    <w:rsid w:val="00CC0C4F"/>
    <w:rsid w:val="00CC3810"/>
    <w:rsid w:val="00CD0923"/>
    <w:rsid w:val="00CD24B5"/>
    <w:rsid w:val="00CD259D"/>
    <w:rsid w:val="00CD4ED4"/>
    <w:rsid w:val="00CE3239"/>
    <w:rsid w:val="00CE58A9"/>
    <w:rsid w:val="00CE65C9"/>
    <w:rsid w:val="00CE684D"/>
    <w:rsid w:val="00CE6F45"/>
    <w:rsid w:val="00CF2C4E"/>
    <w:rsid w:val="00CF7FA2"/>
    <w:rsid w:val="00D04E8B"/>
    <w:rsid w:val="00D10A30"/>
    <w:rsid w:val="00D1400B"/>
    <w:rsid w:val="00D213C0"/>
    <w:rsid w:val="00D222E0"/>
    <w:rsid w:val="00D226C0"/>
    <w:rsid w:val="00D24CB4"/>
    <w:rsid w:val="00D251BC"/>
    <w:rsid w:val="00D25964"/>
    <w:rsid w:val="00D27527"/>
    <w:rsid w:val="00D27A44"/>
    <w:rsid w:val="00D3539B"/>
    <w:rsid w:val="00D35BAA"/>
    <w:rsid w:val="00D502E3"/>
    <w:rsid w:val="00D6232E"/>
    <w:rsid w:val="00D71F12"/>
    <w:rsid w:val="00D739A8"/>
    <w:rsid w:val="00D876F1"/>
    <w:rsid w:val="00D92B60"/>
    <w:rsid w:val="00D95596"/>
    <w:rsid w:val="00D96BBA"/>
    <w:rsid w:val="00D97758"/>
    <w:rsid w:val="00DA18B5"/>
    <w:rsid w:val="00DA6AB9"/>
    <w:rsid w:val="00DB0DFB"/>
    <w:rsid w:val="00DB64E2"/>
    <w:rsid w:val="00DC38C9"/>
    <w:rsid w:val="00DC4A4E"/>
    <w:rsid w:val="00DD4763"/>
    <w:rsid w:val="00DE1679"/>
    <w:rsid w:val="00DE7273"/>
    <w:rsid w:val="00DF6810"/>
    <w:rsid w:val="00DF7342"/>
    <w:rsid w:val="00E03635"/>
    <w:rsid w:val="00E14832"/>
    <w:rsid w:val="00E16D25"/>
    <w:rsid w:val="00E22675"/>
    <w:rsid w:val="00E23B40"/>
    <w:rsid w:val="00E30061"/>
    <w:rsid w:val="00E30A26"/>
    <w:rsid w:val="00E324CD"/>
    <w:rsid w:val="00E40D42"/>
    <w:rsid w:val="00E66CE9"/>
    <w:rsid w:val="00E840D1"/>
    <w:rsid w:val="00E90604"/>
    <w:rsid w:val="00E91666"/>
    <w:rsid w:val="00E9269C"/>
    <w:rsid w:val="00EB1657"/>
    <w:rsid w:val="00EB1CCD"/>
    <w:rsid w:val="00EC63A0"/>
    <w:rsid w:val="00EC6DCC"/>
    <w:rsid w:val="00ED309D"/>
    <w:rsid w:val="00ED3329"/>
    <w:rsid w:val="00ED4E10"/>
    <w:rsid w:val="00EE1BD6"/>
    <w:rsid w:val="00F01B33"/>
    <w:rsid w:val="00F0209E"/>
    <w:rsid w:val="00F028CA"/>
    <w:rsid w:val="00F06297"/>
    <w:rsid w:val="00F06E90"/>
    <w:rsid w:val="00F15F85"/>
    <w:rsid w:val="00F22E64"/>
    <w:rsid w:val="00F23BA2"/>
    <w:rsid w:val="00F246B9"/>
    <w:rsid w:val="00F262A3"/>
    <w:rsid w:val="00F337F4"/>
    <w:rsid w:val="00F402E1"/>
    <w:rsid w:val="00F47168"/>
    <w:rsid w:val="00F47319"/>
    <w:rsid w:val="00F56501"/>
    <w:rsid w:val="00F57346"/>
    <w:rsid w:val="00F63E90"/>
    <w:rsid w:val="00F64BAA"/>
    <w:rsid w:val="00F710EF"/>
    <w:rsid w:val="00F76855"/>
    <w:rsid w:val="00F836F0"/>
    <w:rsid w:val="00F84CBD"/>
    <w:rsid w:val="00F966D2"/>
    <w:rsid w:val="00FA1D00"/>
    <w:rsid w:val="00FA696A"/>
    <w:rsid w:val="00FB4EC8"/>
    <w:rsid w:val="00FC7313"/>
    <w:rsid w:val="00FD09F1"/>
    <w:rsid w:val="00FD7BB3"/>
    <w:rsid w:val="00FE0B71"/>
    <w:rsid w:val="00FF0AA8"/>
    <w:rsid w:val="00FF3B68"/>
    <w:rsid w:val="00FF4E94"/>
    <w:rsid w:val="00FF71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100"/>
  <w14:defaultImageDpi w14:val="300"/>
  <w15:docId w15:val="{5AD743DD-6A8E-493B-B27A-F8394BA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B1657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15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E9"/>
    <w:rPr>
      <w:color w:val="605E5C"/>
      <w:shd w:val="clear" w:color="auto" w:fill="E1DFDD"/>
    </w:rPr>
  </w:style>
  <w:style w:type="paragraph" w:customStyle="1" w:styleId="Default">
    <w:name w:val="Default"/>
    <w:rsid w:val="003B12E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3B12ED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B1657"/>
    <w:rPr>
      <w:rFonts w:ascii="Calibri" w:eastAsiaTheme="minorHAnsi" w:hAnsi="Calibri" w:cs="Calibri"/>
      <w:b/>
      <w:bCs/>
      <w:sz w:val="27"/>
      <w:szCs w:val="27"/>
      <w:lang w:val="en-GB" w:eastAsia="en-GB"/>
    </w:rPr>
  </w:style>
  <w:style w:type="paragraph" w:styleId="ListParagraph">
    <w:name w:val="List Paragraph"/>
    <w:aliases w:val="Dot pt,OBC Bullet,List Paragraph11,List Paragrap,Colorful List - Accent 12,Bullet Styl,Bullet,No Spacing11,L,Párrafo de lista,Recommendation,Recommendati,Recommendatio,List Paragraph3,List Paragra,Maire,List Paragraph12,Normal numbered"/>
    <w:basedOn w:val="Normal"/>
    <w:link w:val="ListParagraphChar"/>
    <w:uiPriority w:val="34"/>
    <w:qFormat/>
    <w:rsid w:val="00EB1657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Dot pt Char,OBC Bullet Char,List Paragraph11 Char,List Paragrap Char,Colorful List - Accent 12 Char,Bullet Styl Char,Bullet Char,No Spacing11 Char,L Char,Párrafo de lista Char,Recommendation Char,Recommendati Char,Recommendatio Char"/>
    <w:link w:val="ListParagraph"/>
    <w:uiPriority w:val="34"/>
    <w:qFormat/>
    <w:locked/>
    <w:rsid w:val="00A75B93"/>
    <w:rPr>
      <w:rFonts w:ascii="Calibri" w:eastAsiaTheme="minorHAnsi" w:hAnsi="Calibri" w:cs="Calibri"/>
      <w:sz w:val="22"/>
      <w:szCs w:val="22"/>
      <w:lang w:val="en-GB" w:eastAsia="en-GB"/>
    </w:rPr>
  </w:style>
  <w:style w:type="table" w:customStyle="1" w:styleId="TableGrid1">
    <w:name w:val="Table Grid1"/>
    <w:basedOn w:val="TableNormal"/>
    <w:uiPriority w:val="39"/>
    <w:rsid w:val="007231F6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31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231F6"/>
  </w:style>
  <w:style w:type="character" w:styleId="Strong">
    <w:name w:val="Strong"/>
    <w:basedOn w:val="DefaultParagraphFont"/>
    <w:uiPriority w:val="22"/>
    <w:qFormat/>
    <w:rsid w:val="002F44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5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3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artofswlep.co.uk/wp-content/uploads/2022/10/HotSW-LEP-2022-AGM-v1.mp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rtofswlep.co.uk/wp-content/uploads/2022/10/Heart-of-the-SW-LEP-Annual-Report-2021-22-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rtofswlep.co.uk/wp-content/uploads/2022/10/HotSW-LEP-2022-AGM-v1.mp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eartofswlep.co.uk/about-the-lep/the-board-meetings-and-minu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aa6a3-f708-4467-9f52-f586c31036b4" xsi:nil="true"/>
    <lcf76f155ced4ddcb4097134ff3c332f xmlns="8f5a3317-e2c4-40c3-b9b9-8beeb61d81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7" ma:contentTypeDescription="Create a new document." ma:contentTypeScope="" ma:versionID="4b8bfda25673cef58029694bbb62ce82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20701f31743dc15f18dceac7648a63be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0a968-d4b8-4e09-b0a1-ca7948486d21}" ma:internalName="TaxCatchAll" ma:showField="CatchAllData" ma:web="03baa6a3-f708-4467-9f52-f586c310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4f773-2e71-465d-876c-25bbcdcf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FE8BA-33ED-4B63-B3CB-5E1C42D4DAFD}">
  <ds:schemaRefs>
    <ds:schemaRef ds:uri="http://schemas.microsoft.com/office/2006/metadata/properties"/>
    <ds:schemaRef ds:uri="http://schemas.microsoft.com/office/infopath/2007/PartnerControls"/>
    <ds:schemaRef ds:uri="03baa6a3-f708-4467-9f52-f586c31036b4"/>
    <ds:schemaRef ds:uri="8f5a3317-e2c4-40c3-b9b9-8beeb61d81eb"/>
  </ds:schemaRefs>
</ds:datastoreItem>
</file>

<file path=customXml/itemProps2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C2C52-485D-43B2-9413-FAAB5C5D5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Davison</dc:creator>
  <cp:keywords/>
  <dc:description/>
  <cp:lastModifiedBy>Janet Powell</cp:lastModifiedBy>
  <cp:revision>2</cp:revision>
  <cp:lastPrinted>2021-10-25T13:11:00Z</cp:lastPrinted>
  <dcterms:created xsi:type="dcterms:W3CDTF">2023-09-11T10:14:00Z</dcterms:created>
  <dcterms:modified xsi:type="dcterms:W3CDTF">2023-09-11T10:14:00Z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  <property fmtid="{D5CDD505-2E9C-101B-9397-08002B2CF9AE}" pid="3" name="MediaServiceImageTags">
    <vt:lpwstr/>
  </property>
</Properties>
</file>