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Look w:val="04A0" w:firstRow="1" w:lastRow="0" w:firstColumn="1" w:lastColumn="0" w:noHBand="0" w:noVBand="1"/>
      </w:tblPr>
      <w:tblGrid>
        <w:gridCol w:w="645"/>
        <w:gridCol w:w="4462"/>
        <w:gridCol w:w="792"/>
        <w:gridCol w:w="861"/>
        <w:gridCol w:w="788"/>
        <w:gridCol w:w="4426"/>
        <w:gridCol w:w="1784"/>
        <w:gridCol w:w="706"/>
        <w:gridCol w:w="924"/>
      </w:tblGrid>
      <w:tr w:rsidR="00295961" w:rsidRPr="00CA74C6" w14:paraId="6A5CC343" w14:textId="77777777" w:rsidTr="00565CB4">
        <w:trPr>
          <w:tblHeader/>
        </w:trPr>
        <w:tc>
          <w:tcPr>
            <w:tcW w:w="645" w:type="dxa"/>
            <w:vMerge w:val="restart"/>
            <w:shd w:val="clear" w:color="auto" w:fill="DEEAF6" w:themeFill="accent1" w:themeFillTint="33"/>
          </w:tcPr>
          <w:p w14:paraId="359501CE" w14:textId="77777777" w:rsidR="00EF0A27" w:rsidRPr="00CA74C6" w:rsidRDefault="00EF0A27" w:rsidP="009E6151">
            <w:pPr>
              <w:rPr>
                <w:rFonts w:ascii="Arial" w:hAnsi="Arial" w:cs="Arial"/>
                <w:b/>
                <w:sz w:val="20"/>
                <w:szCs w:val="20"/>
              </w:rPr>
            </w:pPr>
            <w:r w:rsidRPr="00CA74C6">
              <w:rPr>
                <w:rFonts w:ascii="Arial" w:hAnsi="Arial" w:cs="Arial"/>
                <w:b/>
                <w:sz w:val="20"/>
                <w:szCs w:val="20"/>
              </w:rPr>
              <w:t>Ref</w:t>
            </w:r>
          </w:p>
        </w:tc>
        <w:tc>
          <w:tcPr>
            <w:tcW w:w="4462" w:type="dxa"/>
            <w:vMerge w:val="restart"/>
            <w:shd w:val="clear" w:color="auto" w:fill="DEEAF6" w:themeFill="accent1" w:themeFillTint="33"/>
          </w:tcPr>
          <w:p w14:paraId="30731BF8" w14:textId="77777777" w:rsidR="00EF0A27" w:rsidRPr="00CA74C6" w:rsidRDefault="00EF0A27" w:rsidP="001C74DD">
            <w:pPr>
              <w:rPr>
                <w:rFonts w:ascii="Arial" w:hAnsi="Arial" w:cs="Arial"/>
                <w:b/>
                <w:sz w:val="20"/>
                <w:szCs w:val="20"/>
              </w:rPr>
            </w:pPr>
            <w:r w:rsidRPr="00CA74C6">
              <w:rPr>
                <w:rFonts w:ascii="Arial" w:hAnsi="Arial" w:cs="Arial"/>
                <w:b/>
                <w:sz w:val="20"/>
                <w:szCs w:val="20"/>
              </w:rPr>
              <w:t>Description</w:t>
            </w:r>
          </w:p>
        </w:tc>
        <w:tc>
          <w:tcPr>
            <w:tcW w:w="2441" w:type="dxa"/>
            <w:gridSpan w:val="3"/>
            <w:shd w:val="clear" w:color="auto" w:fill="DEEAF6" w:themeFill="accent1" w:themeFillTint="33"/>
          </w:tcPr>
          <w:p w14:paraId="4B04D4A8" w14:textId="77777777" w:rsidR="00EF0A27" w:rsidRPr="00CA74C6" w:rsidRDefault="00EF0A27">
            <w:pPr>
              <w:rPr>
                <w:rFonts w:ascii="Arial" w:hAnsi="Arial" w:cs="Arial"/>
                <w:b/>
                <w:sz w:val="20"/>
                <w:szCs w:val="20"/>
              </w:rPr>
            </w:pPr>
            <w:r>
              <w:rPr>
                <w:rFonts w:ascii="Arial" w:hAnsi="Arial" w:cs="Arial"/>
                <w:b/>
                <w:sz w:val="20"/>
                <w:szCs w:val="20"/>
              </w:rPr>
              <w:t>Gross risk</w:t>
            </w:r>
          </w:p>
        </w:tc>
        <w:tc>
          <w:tcPr>
            <w:tcW w:w="4426" w:type="dxa"/>
            <w:vMerge w:val="restart"/>
            <w:shd w:val="clear" w:color="auto" w:fill="DEEAF6" w:themeFill="accent1" w:themeFillTint="33"/>
          </w:tcPr>
          <w:p w14:paraId="135F0986" w14:textId="77777777" w:rsidR="00EF0A27" w:rsidRPr="00CA74C6" w:rsidRDefault="00EF0A27" w:rsidP="009E6151">
            <w:pPr>
              <w:rPr>
                <w:rFonts w:ascii="Arial" w:hAnsi="Arial" w:cs="Arial"/>
                <w:b/>
                <w:sz w:val="20"/>
                <w:szCs w:val="20"/>
              </w:rPr>
            </w:pPr>
            <w:r w:rsidRPr="00CA74C6">
              <w:rPr>
                <w:rFonts w:ascii="Arial" w:hAnsi="Arial" w:cs="Arial"/>
                <w:b/>
                <w:sz w:val="20"/>
                <w:szCs w:val="20"/>
              </w:rPr>
              <w:t>Mitigations</w:t>
            </w:r>
          </w:p>
        </w:tc>
        <w:tc>
          <w:tcPr>
            <w:tcW w:w="1784" w:type="dxa"/>
            <w:vMerge w:val="restart"/>
            <w:shd w:val="clear" w:color="auto" w:fill="DEEAF6" w:themeFill="accent1" w:themeFillTint="33"/>
          </w:tcPr>
          <w:p w14:paraId="3FFD2103" w14:textId="77777777" w:rsidR="00EF0A27" w:rsidRPr="00CA74C6" w:rsidRDefault="00EF0A27" w:rsidP="009E6151">
            <w:pPr>
              <w:rPr>
                <w:rFonts w:ascii="Arial" w:hAnsi="Arial" w:cs="Arial"/>
                <w:b/>
                <w:sz w:val="20"/>
                <w:szCs w:val="20"/>
              </w:rPr>
            </w:pPr>
            <w:r w:rsidRPr="00CA74C6">
              <w:rPr>
                <w:rFonts w:ascii="Arial" w:hAnsi="Arial" w:cs="Arial"/>
                <w:b/>
                <w:sz w:val="20"/>
                <w:szCs w:val="20"/>
              </w:rPr>
              <w:t>Owner</w:t>
            </w:r>
          </w:p>
        </w:tc>
        <w:tc>
          <w:tcPr>
            <w:tcW w:w="706" w:type="dxa"/>
            <w:vMerge w:val="restart"/>
            <w:shd w:val="clear" w:color="auto" w:fill="DEEAF6" w:themeFill="accent1" w:themeFillTint="33"/>
          </w:tcPr>
          <w:p w14:paraId="6CE846EE" w14:textId="77777777" w:rsidR="00EF0A27" w:rsidRPr="00CA74C6" w:rsidRDefault="00EF0A27" w:rsidP="009E6151">
            <w:pPr>
              <w:rPr>
                <w:rFonts w:ascii="Arial" w:hAnsi="Arial" w:cs="Arial"/>
                <w:b/>
                <w:sz w:val="20"/>
                <w:szCs w:val="20"/>
              </w:rPr>
            </w:pPr>
            <w:r w:rsidRPr="00CA74C6">
              <w:rPr>
                <w:rFonts w:ascii="Arial" w:hAnsi="Arial" w:cs="Arial"/>
                <w:b/>
                <w:sz w:val="20"/>
                <w:szCs w:val="20"/>
              </w:rPr>
              <w:t>Net risk</w:t>
            </w:r>
          </w:p>
        </w:tc>
        <w:tc>
          <w:tcPr>
            <w:tcW w:w="924" w:type="dxa"/>
            <w:vMerge w:val="restart"/>
            <w:shd w:val="clear" w:color="auto" w:fill="DEEAF6" w:themeFill="accent1" w:themeFillTint="33"/>
          </w:tcPr>
          <w:p w14:paraId="25F6064F" w14:textId="77777777" w:rsidR="00EF0A27" w:rsidRDefault="00EF0A27" w:rsidP="009E6151">
            <w:pPr>
              <w:rPr>
                <w:rFonts w:ascii="Arial" w:hAnsi="Arial" w:cs="Arial"/>
                <w:b/>
                <w:sz w:val="20"/>
                <w:szCs w:val="20"/>
              </w:rPr>
            </w:pPr>
            <w:r>
              <w:rPr>
                <w:rFonts w:ascii="Arial" w:hAnsi="Arial" w:cs="Arial"/>
                <w:b/>
                <w:sz w:val="20"/>
                <w:szCs w:val="20"/>
              </w:rPr>
              <w:t>Trend</w:t>
            </w:r>
          </w:p>
        </w:tc>
      </w:tr>
      <w:tr w:rsidR="00295961" w:rsidRPr="00CA74C6" w14:paraId="3C26AFF1" w14:textId="77777777" w:rsidTr="00565CB4">
        <w:trPr>
          <w:tblHeader/>
        </w:trPr>
        <w:tc>
          <w:tcPr>
            <w:tcW w:w="645" w:type="dxa"/>
            <w:vMerge/>
            <w:shd w:val="clear" w:color="auto" w:fill="DEEAF6" w:themeFill="accent1" w:themeFillTint="33"/>
          </w:tcPr>
          <w:p w14:paraId="03BBD4E2" w14:textId="77777777" w:rsidR="00EF0A27" w:rsidRPr="00CA74C6" w:rsidRDefault="00EF0A27">
            <w:pPr>
              <w:rPr>
                <w:rFonts w:ascii="Arial" w:hAnsi="Arial" w:cs="Arial"/>
                <w:b/>
                <w:sz w:val="20"/>
                <w:szCs w:val="20"/>
              </w:rPr>
            </w:pPr>
          </w:p>
        </w:tc>
        <w:tc>
          <w:tcPr>
            <w:tcW w:w="4462" w:type="dxa"/>
            <w:vMerge/>
            <w:shd w:val="clear" w:color="auto" w:fill="DEEAF6" w:themeFill="accent1" w:themeFillTint="33"/>
          </w:tcPr>
          <w:p w14:paraId="57E29906" w14:textId="77777777" w:rsidR="00EF0A27" w:rsidRPr="00CA74C6" w:rsidRDefault="00EF0A27" w:rsidP="001C74DD">
            <w:pPr>
              <w:rPr>
                <w:rFonts w:ascii="Arial" w:hAnsi="Arial" w:cs="Arial"/>
                <w:b/>
                <w:sz w:val="20"/>
                <w:szCs w:val="20"/>
              </w:rPr>
            </w:pPr>
          </w:p>
        </w:tc>
        <w:tc>
          <w:tcPr>
            <w:tcW w:w="792" w:type="dxa"/>
            <w:shd w:val="clear" w:color="auto" w:fill="DEEAF6" w:themeFill="accent1" w:themeFillTint="33"/>
          </w:tcPr>
          <w:p w14:paraId="2B155A7D" w14:textId="77777777" w:rsidR="00EF0A27" w:rsidRPr="00CA74C6" w:rsidRDefault="00EF0A27">
            <w:pPr>
              <w:rPr>
                <w:rFonts w:ascii="Arial" w:hAnsi="Arial" w:cs="Arial"/>
                <w:b/>
                <w:sz w:val="20"/>
                <w:szCs w:val="20"/>
              </w:rPr>
            </w:pPr>
            <w:r w:rsidRPr="00CA74C6">
              <w:rPr>
                <w:rFonts w:ascii="Arial" w:hAnsi="Arial" w:cs="Arial"/>
                <w:b/>
                <w:sz w:val="20"/>
                <w:szCs w:val="20"/>
              </w:rPr>
              <w:t>Prob.</w:t>
            </w:r>
          </w:p>
        </w:tc>
        <w:tc>
          <w:tcPr>
            <w:tcW w:w="861" w:type="dxa"/>
            <w:shd w:val="clear" w:color="auto" w:fill="DEEAF6" w:themeFill="accent1" w:themeFillTint="33"/>
          </w:tcPr>
          <w:p w14:paraId="6D3D490C" w14:textId="77777777" w:rsidR="00EF0A27" w:rsidRPr="00CA74C6" w:rsidRDefault="00EF0A27">
            <w:pPr>
              <w:rPr>
                <w:rFonts w:ascii="Arial" w:hAnsi="Arial" w:cs="Arial"/>
                <w:b/>
                <w:sz w:val="20"/>
                <w:szCs w:val="20"/>
              </w:rPr>
            </w:pPr>
            <w:r w:rsidRPr="00CA74C6">
              <w:rPr>
                <w:rFonts w:ascii="Arial" w:hAnsi="Arial" w:cs="Arial"/>
                <w:b/>
                <w:sz w:val="20"/>
                <w:szCs w:val="20"/>
              </w:rPr>
              <w:t>Impact</w:t>
            </w:r>
          </w:p>
        </w:tc>
        <w:tc>
          <w:tcPr>
            <w:tcW w:w="788" w:type="dxa"/>
            <w:shd w:val="clear" w:color="auto" w:fill="DEEAF6" w:themeFill="accent1" w:themeFillTint="33"/>
          </w:tcPr>
          <w:p w14:paraId="632830D1" w14:textId="77777777" w:rsidR="00EF0A27" w:rsidRPr="00CA74C6" w:rsidRDefault="00EF0A27">
            <w:pPr>
              <w:rPr>
                <w:rFonts w:ascii="Arial" w:hAnsi="Arial" w:cs="Arial"/>
                <w:b/>
                <w:sz w:val="20"/>
                <w:szCs w:val="20"/>
              </w:rPr>
            </w:pPr>
            <w:r>
              <w:rPr>
                <w:rFonts w:ascii="Arial" w:hAnsi="Arial" w:cs="Arial"/>
                <w:b/>
                <w:sz w:val="20"/>
                <w:szCs w:val="20"/>
              </w:rPr>
              <w:t>R</w:t>
            </w:r>
            <w:r w:rsidRPr="00CA74C6">
              <w:rPr>
                <w:rFonts w:ascii="Arial" w:hAnsi="Arial" w:cs="Arial"/>
                <w:b/>
                <w:sz w:val="20"/>
                <w:szCs w:val="20"/>
              </w:rPr>
              <w:t>isk</w:t>
            </w:r>
          </w:p>
        </w:tc>
        <w:tc>
          <w:tcPr>
            <w:tcW w:w="4426" w:type="dxa"/>
            <w:vMerge/>
            <w:shd w:val="clear" w:color="auto" w:fill="DEEAF6" w:themeFill="accent1" w:themeFillTint="33"/>
          </w:tcPr>
          <w:p w14:paraId="17E5ABA7" w14:textId="77777777" w:rsidR="00EF0A27" w:rsidRPr="00CA74C6" w:rsidRDefault="00EF0A27">
            <w:pPr>
              <w:rPr>
                <w:rFonts w:ascii="Arial" w:hAnsi="Arial" w:cs="Arial"/>
                <w:b/>
                <w:sz w:val="20"/>
                <w:szCs w:val="20"/>
              </w:rPr>
            </w:pPr>
          </w:p>
        </w:tc>
        <w:tc>
          <w:tcPr>
            <w:tcW w:w="1784" w:type="dxa"/>
            <w:vMerge/>
            <w:shd w:val="clear" w:color="auto" w:fill="DEEAF6" w:themeFill="accent1" w:themeFillTint="33"/>
          </w:tcPr>
          <w:p w14:paraId="60F6E475" w14:textId="77777777" w:rsidR="00EF0A27" w:rsidRPr="00CA74C6" w:rsidRDefault="00EF0A27">
            <w:pPr>
              <w:rPr>
                <w:rFonts w:ascii="Arial" w:hAnsi="Arial" w:cs="Arial"/>
                <w:b/>
                <w:sz w:val="20"/>
                <w:szCs w:val="20"/>
              </w:rPr>
            </w:pPr>
          </w:p>
        </w:tc>
        <w:tc>
          <w:tcPr>
            <w:tcW w:w="706" w:type="dxa"/>
            <w:vMerge/>
            <w:shd w:val="clear" w:color="auto" w:fill="DEEAF6" w:themeFill="accent1" w:themeFillTint="33"/>
          </w:tcPr>
          <w:p w14:paraId="7AA73E95" w14:textId="77777777" w:rsidR="00EF0A27" w:rsidRPr="00CA74C6" w:rsidRDefault="00EF0A27">
            <w:pPr>
              <w:rPr>
                <w:rFonts w:ascii="Arial" w:hAnsi="Arial" w:cs="Arial"/>
                <w:b/>
                <w:sz w:val="20"/>
                <w:szCs w:val="20"/>
              </w:rPr>
            </w:pPr>
          </w:p>
        </w:tc>
        <w:tc>
          <w:tcPr>
            <w:tcW w:w="924" w:type="dxa"/>
            <w:vMerge/>
            <w:shd w:val="clear" w:color="auto" w:fill="DEEAF6" w:themeFill="accent1" w:themeFillTint="33"/>
          </w:tcPr>
          <w:p w14:paraId="7D18D169" w14:textId="77777777" w:rsidR="00EF0A27" w:rsidRPr="00CA74C6" w:rsidRDefault="00EF0A27">
            <w:pPr>
              <w:rPr>
                <w:rFonts w:ascii="Arial" w:hAnsi="Arial" w:cs="Arial"/>
                <w:b/>
                <w:sz w:val="20"/>
                <w:szCs w:val="20"/>
              </w:rPr>
            </w:pPr>
          </w:p>
        </w:tc>
      </w:tr>
      <w:tr w:rsidR="00CA74C6" w:rsidRPr="00CA74C6" w14:paraId="08190E14" w14:textId="77777777" w:rsidTr="003C2665">
        <w:tc>
          <w:tcPr>
            <w:tcW w:w="645" w:type="dxa"/>
            <w:shd w:val="clear" w:color="auto" w:fill="E2EFD9" w:themeFill="accent6" w:themeFillTint="33"/>
          </w:tcPr>
          <w:p w14:paraId="333881B3" w14:textId="77777777" w:rsidR="00CA74C6" w:rsidRPr="00CA74C6" w:rsidRDefault="00CA74C6">
            <w:pPr>
              <w:rPr>
                <w:rFonts w:ascii="Arial" w:hAnsi="Arial" w:cs="Arial"/>
                <w:b/>
              </w:rPr>
            </w:pPr>
            <w:r w:rsidRPr="00CA74C6">
              <w:rPr>
                <w:rFonts w:ascii="Arial" w:hAnsi="Arial" w:cs="Arial"/>
                <w:b/>
              </w:rPr>
              <w:t>1</w:t>
            </w:r>
          </w:p>
        </w:tc>
        <w:tc>
          <w:tcPr>
            <w:tcW w:w="14743" w:type="dxa"/>
            <w:gridSpan w:val="8"/>
            <w:shd w:val="clear" w:color="auto" w:fill="E2EFD9" w:themeFill="accent6" w:themeFillTint="33"/>
          </w:tcPr>
          <w:p w14:paraId="19D47F01" w14:textId="77777777" w:rsidR="00CA74C6" w:rsidRPr="00CA74C6" w:rsidRDefault="00CA74C6">
            <w:pPr>
              <w:rPr>
                <w:rFonts w:ascii="Arial" w:hAnsi="Arial" w:cs="Arial"/>
                <w:b/>
              </w:rPr>
            </w:pPr>
            <w:r w:rsidRPr="00CA74C6">
              <w:rPr>
                <w:rFonts w:ascii="Arial" w:hAnsi="Arial" w:cs="Arial"/>
                <w:b/>
              </w:rPr>
              <w:t>STRATEGIC</w:t>
            </w:r>
          </w:p>
        </w:tc>
      </w:tr>
      <w:tr w:rsidR="00E46B6F" w:rsidRPr="00CA74C6" w14:paraId="4DD447BB" w14:textId="77777777" w:rsidTr="00565CB4">
        <w:tc>
          <w:tcPr>
            <w:tcW w:w="645" w:type="dxa"/>
          </w:tcPr>
          <w:p w14:paraId="443DB808" w14:textId="77777777" w:rsidR="00CA74C6" w:rsidRPr="00CA74C6" w:rsidRDefault="003F1D43" w:rsidP="00D34199">
            <w:pPr>
              <w:rPr>
                <w:rFonts w:ascii="Arial" w:hAnsi="Arial" w:cs="Arial"/>
              </w:rPr>
            </w:pPr>
            <w:r>
              <w:rPr>
                <w:rFonts w:ascii="Arial" w:hAnsi="Arial" w:cs="Arial"/>
              </w:rPr>
              <w:t>1.1</w:t>
            </w:r>
          </w:p>
        </w:tc>
        <w:tc>
          <w:tcPr>
            <w:tcW w:w="4462" w:type="dxa"/>
          </w:tcPr>
          <w:p w14:paraId="41CFC46D" w14:textId="6305F7CE" w:rsidR="00CA74C6" w:rsidRDefault="00023021" w:rsidP="00CA74C6">
            <w:pPr>
              <w:rPr>
                <w:rFonts w:cs="Arial"/>
                <w:lang w:eastAsia="en-GB"/>
              </w:rPr>
            </w:pPr>
            <w:r>
              <w:rPr>
                <w:rFonts w:cs="Arial"/>
                <w:lang w:eastAsia="en-GB"/>
              </w:rPr>
              <w:t>National</w:t>
            </w:r>
            <w:r w:rsidR="00C84F6D">
              <w:rPr>
                <w:rFonts w:cs="Arial"/>
                <w:lang w:eastAsia="en-GB"/>
              </w:rPr>
              <w:t xml:space="preserve"> </w:t>
            </w:r>
            <w:r>
              <w:rPr>
                <w:rFonts w:cs="Arial"/>
                <w:lang w:eastAsia="en-GB"/>
              </w:rPr>
              <w:t xml:space="preserve">or </w:t>
            </w:r>
            <w:r w:rsidR="00CA74C6" w:rsidRPr="00CA74C6">
              <w:rPr>
                <w:rFonts w:cs="Arial"/>
                <w:lang w:eastAsia="en-GB"/>
              </w:rPr>
              <w:t xml:space="preserve">international </w:t>
            </w:r>
            <w:r>
              <w:rPr>
                <w:rFonts w:cs="Arial"/>
                <w:lang w:eastAsia="en-GB"/>
              </w:rPr>
              <w:t>m</w:t>
            </w:r>
            <w:r w:rsidRPr="00CA74C6">
              <w:rPr>
                <w:rFonts w:cs="Arial"/>
                <w:lang w:eastAsia="en-GB"/>
              </w:rPr>
              <w:t xml:space="preserve">acro-economic </w:t>
            </w:r>
            <w:r w:rsidR="00CA74C6" w:rsidRPr="00CA74C6">
              <w:rPr>
                <w:rFonts w:cs="Arial"/>
                <w:lang w:eastAsia="en-GB"/>
              </w:rPr>
              <w:t xml:space="preserve">conditions </w:t>
            </w:r>
            <w:r>
              <w:rPr>
                <w:rFonts w:cs="Arial"/>
                <w:lang w:eastAsia="en-GB"/>
              </w:rPr>
              <w:t xml:space="preserve">shift, </w:t>
            </w:r>
            <w:r w:rsidR="00CA74C6" w:rsidRPr="00CA74C6">
              <w:rPr>
                <w:rFonts w:cs="Arial"/>
                <w:lang w:eastAsia="en-GB"/>
              </w:rPr>
              <w:t xml:space="preserve">resulting in unforeseen changes </w:t>
            </w:r>
            <w:r>
              <w:rPr>
                <w:rFonts w:cs="Arial"/>
                <w:lang w:eastAsia="en-GB"/>
              </w:rPr>
              <w:t xml:space="preserve">in local need/opportunity and </w:t>
            </w:r>
            <w:r w:rsidR="00CA74C6" w:rsidRPr="00CA74C6">
              <w:rPr>
                <w:rFonts w:cs="Arial"/>
                <w:lang w:eastAsia="en-GB"/>
              </w:rPr>
              <w:t>compromising the relevance and deliverability of the LEP’s</w:t>
            </w:r>
            <w:r>
              <w:rPr>
                <w:rFonts w:cs="Arial"/>
                <w:lang w:eastAsia="en-GB"/>
              </w:rPr>
              <w:t xml:space="preserve"> Strategy.</w:t>
            </w:r>
            <w:r w:rsidR="00C84F6D">
              <w:rPr>
                <w:rFonts w:cs="Arial"/>
                <w:lang w:eastAsia="en-GB"/>
              </w:rPr>
              <w:t xml:space="preserve"> Includes</w:t>
            </w:r>
            <w:r w:rsidR="001907CB">
              <w:rPr>
                <w:rFonts w:cs="Arial"/>
                <w:lang w:eastAsia="en-GB"/>
              </w:rPr>
              <w:t xml:space="preserve"> economic and social disruption from</w:t>
            </w:r>
          </w:p>
          <w:p w14:paraId="5D1E8602" w14:textId="41EC3B90" w:rsidR="006F52F2" w:rsidRDefault="007D1F27" w:rsidP="004E6F94">
            <w:pPr>
              <w:pStyle w:val="ListParagraph"/>
              <w:numPr>
                <w:ilvl w:val="0"/>
                <w:numId w:val="11"/>
              </w:numPr>
              <w:ind w:hanging="267"/>
              <w:rPr>
                <w:rFonts w:cs="Arial"/>
                <w:lang w:eastAsia="en-GB"/>
              </w:rPr>
            </w:pPr>
            <w:r>
              <w:rPr>
                <w:rFonts w:cs="Arial"/>
                <w:lang w:eastAsia="en-GB"/>
              </w:rPr>
              <w:t>c</w:t>
            </w:r>
            <w:r w:rsidR="004D5A61">
              <w:rPr>
                <w:rFonts w:cs="Arial"/>
                <w:lang w:eastAsia="en-GB"/>
              </w:rPr>
              <w:t>oronavirus</w:t>
            </w:r>
            <w:r w:rsidR="006A29CC">
              <w:rPr>
                <w:rFonts w:cs="Arial"/>
                <w:lang w:eastAsia="en-GB"/>
              </w:rPr>
              <w:t>;</w:t>
            </w:r>
            <w:r w:rsidR="006F52F2">
              <w:rPr>
                <w:rFonts w:cs="Arial"/>
                <w:lang w:eastAsia="en-GB"/>
              </w:rPr>
              <w:t xml:space="preserve"> could </w:t>
            </w:r>
            <w:proofErr w:type="gramStart"/>
            <w:r w:rsidR="006F52F2">
              <w:rPr>
                <w:rFonts w:cs="Arial"/>
                <w:lang w:eastAsia="en-GB"/>
              </w:rPr>
              <w:t>include</w:t>
            </w:r>
            <w:proofErr w:type="gramEnd"/>
          </w:p>
          <w:p w14:paraId="55F33A09" w14:textId="699ECAB9" w:rsidR="004D5A61" w:rsidRDefault="006A29CC" w:rsidP="006F52F2">
            <w:pPr>
              <w:pStyle w:val="ListParagraph"/>
              <w:numPr>
                <w:ilvl w:val="1"/>
                <w:numId w:val="11"/>
              </w:numPr>
              <w:ind w:left="660" w:hanging="284"/>
              <w:rPr>
                <w:rFonts w:cs="Arial"/>
                <w:lang w:eastAsia="en-GB"/>
              </w:rPr>
            </w:pPr>
            <w:r>
              <w:rPr>
                <w:rFonts w:cs="Arial"/>
                <w:lang w:eastAsia="en-GB"/>
              </w:rPr>
              <w:t xml:space="preserve"> higher unemployment from Covid-19</w:t>
            </w:r>
            <w:r w:rsidR="006F52F2">
              <w:rPr>
                <w:rFonts w:cs="Arial"/>
                <w:lang w:eastAsia="en-GB"/>
              </w:rPr>
              <w:t xml:space="preserve"> creating social disruption and </w:t>
            </w:r>
            <w:r w:rsidR="005723BF">
              <w:rPr>
                <w:rFonts w:cs="Arial"/>
                <w:lang w:eastAsia="en-GB"/>
              </w:rPr>
              <w:t>require shift</w:t>
            </w:r>
            <w:r>
              <w:rPr>
                <w:rFonts w:cs="Arial"/>
                <w:lang w:eastAsia="en-GB"/>
              </w:rPr>
              <w:t xml:space="preserve"> </w:t>
            </w:r>
            <w:r w:rsidR="005723BF">
              <w:rPr>
                <w:rFonts w:cs="Arial"/>
                <w:lang w:eastAsia="en-GB"/>
              </w:rPr>
              <w:t xml:space="preserve">in </w:t>
            </w:r>
            <w:r>
              <w:rPr>
                <w:rFonts w:cs="Arial"/>
                <w:lang w:eastAsia="en-GB"/>
              </w:rPr>
              <w:t>focus from productivity growth back to employment growth</w:t>
            </w:r>
          </w:p>
          <w:p w14:paraId="0ED783CB" w14:textId="77777777" w:rsidR="00205760" w:rsidRDefault="006F52F2" w:rsidP="00016879">
            <w:pPr>
              <w:pStyle w:val="ListParagraph"/>
              <w:numPr>
                <w:ilvl w:val="1"/>
                <w:numId w:val="11"/>
              </w:numPr>
              <w:ind w:left="660" w:hanging="284"/>
              <w:rPr>
                <w:rFonts w:cs="Arial"/>
                <w:lang w:eastAsia="en-GB"/>
              </w:rPr>
            </w:pPr>
            <w:r>
              <w:rPr>
                <w:rFonts w:cs="Arial"/>
                <w:lang w:eastAsia="en-GB"/>
              </w:rPr>
              <w:t>risk to viability of strategic infrastructure essential to regional connectivity</w:t>
            </w:r>
          </w:p>
          <w:p w14:paraId="157A5EA1" w14:textId="77777777" w:rsidR="002D2121" w:rsidRDefault="001907CB" w:rsidP="002D2121">
            <w:pPr>
              <w:pStyle w:val="ListParagraph"/>
              <w:numPr>
                <w:ilvl w:val="0"/>
                <w:numId w:val="11"/>
              </w:numPr>
              <w:rPr>
                <w:rFonts w:cs="Arial"/>
                <w:lang w:eastAsia="en-GB"/>
              </w:rPr>
            </w:pPr>
            <w:r>
              <w:rPr>
                <w:rFonts w:cs="Arial"/>
                <w:lang w:eastAsia="en-GB"/>
              </w:rPr>
              <w:t xml:space="preserve">Ukraine conflict; could </w:t>
            </w:r>
            <w:proofErr w:type="gramStart"/>
            <w:r>
              <w:rPr>
                <w:rFonts w:cs="Arial"/>
                <w:lang w:eastAsia="en-GB"/>
              </w:rPr>
              <w:t>include</w:t>
            </w:r>
            <w:proofErr w:type="gramEnd"/>
          </w:p>
          <w:p w14:paraId="2C82D931" w14:textId="7CACAFC0" w:rsidR="001907CB" w:rsidRDefault="006164DE" w:rsidP="001907CB">
            <w:pPr>
              <w:pStyle w:val="ListParagraph"/>
              <w:numPr>
                <w:ilvl w:val="1"/>
                <w:numId w:val="11"/>
              </w:numPr>
              <w:ind w:left="654" w:hanging="284"/>
              <w:rPr>
                <w:rFonts w:cs="Arial"/>
                <w:lang w:eastAsia="en-GB"/>
              </w:rPr>
            </w:pPr>
            <w:r>
              <w:rPr>
                <w:rFonts w:cs="Arial"/>
                <w:lang w:eastAsia="en-GB"/>
              </w:rPr>
              <w:t>f</w:t>
            </w:r>
            <w:r w:rsidR="00D13706">
              <w:rPr>
                <w:rFonts w:cs="Arial"/>
                <w:lang w:eastAsia="en-GB"/>
              </w:rPr>
              <w:t>urther increases to energy costs</w:t>
            </w:r>
            <w:r w:rsidR="001039B8">
              <w:rPr>
                <w:rFonts w:cs="Arial"/>
                <w:lang w:eastAsia="en-GB"/>
              </w:rPr>
              <w:t xml:space="preserve">/ </w:t>
            </w:r>
            <w:proofErr w:type="gramStart"/>
            <w:r w:rsidR="001039B8">
              <w:rPr>
                <w:rFonts w:cs="Arial"/>
                <w:lang w:eastAsia="en-GB"/>
              </w:rPr>
              <w:t>inflation</w:t>
            </w:r>
            <w:proofErr w:type="gramEnd"/>
          </w:p>
          <w:p w14:paraId="2EE8554E" w14:textId="77777777" w:rsidR="00D13706" w:rsidRDefault="00D13706" w:rsidP="005D65FA">
            <w:pPr>
              <w:pStyle w:val="ListParagraph"/>
              <w:numPr>
                <w:ilvl w:val="1"/>
                <w:numId w:val="11"/>
              </w:numPr>
              <w:ind w:left="654" w:hanging="284"/>
              <w:rPr>
                <w:rFonts w:cs="Arial"/>
                <w:lang w:eastAsia="en-GB"/>
              </w:rPr>
            </w:pPr>
            <w:r>
              <w:rPr>
                <w:rFonts w:cs="Arial"/>
                <w:lang w:eastAsia="en-GB"/>
              </w:rPr>
              <w:t>increased political instability reduces confidence</w:t>
            </w:r>
            <w:r w:rsidR="006164DE">
              <w:rPr>
                <w:rFonts w:cs="Arial"/>
                <w:lang w:eastAsia="en-GB"/>
              </w:rPr>
              <w:t xml:space="preserve"> and economic </w:t>
            </w:r>
            <w:proofErr w:type="gramStart"/>
            <w:r w:rsidR="006164DE">
              <w:rPr>
                <w:rFonts w:cs="Arial"/>
                <w:lang w:eastAsia="en-GB"/>
              </w:rPr>
              <w:t>activity</w:t>
            </w:r>
            <w:proofErr w:type="gramEnd"/>
          </w:p>
          <w:p w14:paraId="30088669" w14:textId="77777777" w:rsidR="00BD1142" w:rsidRDefault="00BD1142" w:rsidP="00BD1142">
            <w:pPr>
              <w:pStyle w:val="ListParagraph"/>
              <w:numPr>
                <w:ilvl w:val="0"/>
                <w:numId w:val="11"/>
              </w:numPr>
              <w:rPr>
                <w:rFonts w:cs="Arial"/>
                <w:lang w:eastAsia="en-GB"/>
              </w:rPr>
            </w:pPr>
            <w:r>
              <w:rPr>
                <w:rFonts w:cs="Arial"/>
                <w:lang w:eastAsia="en-GB"/>
              </w:rPr>
              <w:t>2023 recession</w:t>
            </w:r>
          </w:p>
          <w:p w14:paraId="2021BD33" w14:textId="511F1229" w:rsidR="005B3376" w:rsidRPr="00BD1142" w:rsidRDefault="005B3376" w:rsidP="00BD1142">
            <w:pPr>
              <w:pStyle w:val="ListParagraph"/>
              <w:numPr>
                <w:ilvl w:val="0"/>
                <w:numId w:val="11"/>
              </w:numPr>
              <w:rPr>
                <w:rFonts w:cs="Arial"/>
                <w:lang w:eastAsia="en-GB"/>
              </w:rPr>
            </w:pPr>
            <w:r w:rsidRPr="00BD1142">
              <w:rPr>
                <w:rFonts w:cs="Arial"/>
                <w:lang w:eastAsia="en-GB"/>
              </w:rPr>
              <w:t xml:space="preserve">other inflationary pressures through </w:t>
            </w:r>
            <w:proofErr w:type="gramStart"/>
            <w:r w:rsidRPr="00BD1142">
              <w:rPr>
                <w:rFonts w:cs="Arial"/>
                <w:lang w:eastAsia="en-GB"/>
              </w:rPr>
              <w:t>e.g.</w:t>
            </w:r>
            <w:proofErr w:type="gramEnd"/>
            <w:r w:rsidRPr="00BD1142">
              <w:rPr>
                <w:rFonts w:cs="Arial"/>
                <w:lang w:eastAsia="en-GB"/>
              </w:rPr>
              <w:t xml:space="preserve"> energy rises, wage inflation</w:t>
            </w:r>
            <w:r w:rsidR="005B5E9D" w:rsidRPr="00BD1142">
              <w:rPr>
                <w:rFonts w:cs="Arial"/>
                <w:lang w:eastAsia="en-GB"/>
              </w:rPr>
              <w:t>, currency instability, interest rates</w:t>
            </w:r>
            <w:r w:rsidRPr="00BD1142">
              <w:rPr>
                <w:rFonts w:cs="Arial"/>
                <w:lang w:eastAsia="en-GB"/>
              </w:rPr>
              <w:t xml:space="preserve"> etc</w:t>
            </w:r>
          </w:p>
          <w:p w14:paraId="0EC9EF8A" w14:textId="6E9D984B" w:rsidR="002355F6" w:rsidRPr="00016879" w:rsidRDefault="002355F6" w:rsidP="002355F6">
            <w:pPr>
              <w:pStyle w:val="ListParagraph"/>
              <w:ind w:left="654"/>
              <w:rPr>
                <w:rFonts w:cs="Arial"/>
                <w:lang w:eastAsia="en-GB"/>
              </w:rPr>
            </w:pPr>
          </w:p>
        </w:tc>
        <w:tc>
          <w:tcPr>
            <w:tcW w:w="792" w:type="dxa"/>
          </w:tcPr>
          <w:p w14:paraId="73F7326F" w14:textId="73A2F373" w:rsidR="00CA74C6" w:rsidRPr="00CA74C6" w:rsidRDefault="004E6F94" w:rsidP="00D34199">
            <w:pPr>
              <w:jc w:val="center"/>
              <w:rPr>
                <w:rFonts w:cs="Arial"/>
                <w:lang w:eastAsia="en-GB"/>
              </w:rPr>
            </w:pPr>
            <w:r>
              <w:rPr>
                <w:rFonts w:cs="Arial"/>
                <w:lang w:eastAsia="en-GB"/>
              </w:rPr>
              <w:t>H</w:t>
            </w:r>
          </w:p>
        </w:tc>
        <w:tc>
          <w:tcPr>
            <w:tcW w:w="861" w:type="dxa"/>
          </w:tcPr>
          <w:p w14:paraId="6D56BA17" w14:textId="744A34F0" w:rsidR="00CA74C6" w:rsidRPr="00CA74C6" w:rsidRDefault="00CA74C6" w:rsidP="00D34199">
            <w:pPr>
              <w:jc w:val="center"/>
              <w:rPr>
                <w:rFonts w:cs="Arial"/>
                <w:lang w:eastAsia="en-GB"/>
              </w:rPr>
            </w:pPr>
            <w:r w:rsidRPr="00CA74C6">
              <w:rPr>
                <w:rFonts w:cs="Arial"/>
                <w:lang w:eastAsia="en-GB"/>
              </w:rPr>
              <w:t>H</w:t>
            </w:r>
          </w:p>
        </w:tc>
        <w:tc>
          <w:tcPr>
            <w:tcW w:w="788" w:type="dxa"/>
            <w:shd w:val="clear" w:color="auto" w:fill="FF0000"/>
          </w:tcPr>
          <w:p w14:paraId="332E089B" w14:textId="54C665AB" w:rsidR="00CA74C6" w:rsidRPr="00CA74C6" w:rsidRDefault="004E6F94" w:rsidP="00D34199">
            <w:pPr>
              <w:jc w:val="center"/>
              <w:rPr>
                <w:rFonts w:cs="Arial"/>
                <w:b/>
                <w:lang w:eastAsia="en-GB"/>
              </w:rPr>
            </w:pPr>
            <w:r>
              <w:rPr>
                <w:rFonts w:cs="Arial"/>
                <w:b/>
                <w:lang w:eastAsia="en-GB"/>
              </w:rPr>
              <w:t>H</w:t>
            </w:r>
          </w:p>
        </w:tc>
        <w:tc>
          <w:tcPr>
            <w:tcW w:w="4426" w:type="dxa"/>
          </w:tcPr>
          <w:p w14:paraId="36E99AEF" w14:textId="16095E2A" w:rsidR="00354315" w:rsidRDefault="00354315" w:rsidP="00354315">
            <w:pPr>
              <w:pStyle w:val="ListParagraph"/>
              <w:numPr>
                <w:ilvl w:val="0"/>
                <w:numId w:val="14"/>
              </w:numPr>
              <w:rPr>
                <w:rFonts w:cs="Arial"/>
                <w:lang w:eastAsia="en-GB"/>
              </w:rPr>
            </w:pPr>
            <w:r>
              <w:rPr>
                <w:rFonts w:cs="Arial"/>
                <w:lang w:eastAsia="en-GB"/>
              </w:rPr>
              <w:t>Economic shocks’</w:t>
            </w:r>
            <w:r w:rsidRPr="006F52F2">
              <w:rPr>
                <w:rFonts w:cs="Arial"/>
                <w:lang w:eastAsia="en-GB"/>
              </w:rPr>
              <w:t xml:space="preserve"> mitigation: LEP working with LA partners</w:t>
            </w:r>
            <w:r w:rsidR="009A2D82">
              <w:rPr>
                <w:rFonts w:cs="Arial"/>
                <w:lang w:eastAsia="en-GB"/>
              </w:rPr>
              <w:t>, business etc</w:t>
            </w:r>
            <w:r w:rsidRPr="006F52F2">
              <w:rPr>
                <w:rFonts w:cs="Arial"/>
                <w:lang w:eastAsia="en-GB"/>
              </w:rPr>
              <w:t xml:space="preserve"> through </w:t>
            </w:r>
            <w:r>
              <w:rPr>
                <w:rFonts w:cs="Arial"/>
                <w:lang w:eastAsia="en-GB"/>
              </w:rPr>
              <w:t>monthly</w:t>
            </w:r>
            <w:r w:rsidRPr="006F52F2">
              <w:rPr>
                <w:rFonts w:cs="Arial"/>
                <w:lang w:eastAsia="en-GB"/>
              </w:rPr>
              <w:t xml:space="preserve"> Resilience &amp; Opportunities forum</w:t>
            </w:r>
            <w:r>
              <w:rPr>
                <w:rFonts w:cs="Arial"/>
                <w:lang w:eastAsia="en-GB"/>
              </w:rPr>
              <w:t xml:space="preserve">, escalating issues as required. </w:t>
            </w:r>
            <w:r w:rsidRPr="006F52F2">
              <w:rPr>
                <w:rFonts w:cs="Arial"/>
                <w:lang w:eastAsia="en-GB"/>
              </w:rPr>
              <w:t xml:space="preserve"> Growth Hub providing support for businesses.</w:t>
            </w:r>
          </w:p>
          <w:p w14:paraId="7E3FA141" w14:textId="3007B025" w:rsidR="00D5255A" w:rsidRPr="00B133F5" w:rsidRDefault="006164DE" w:rsidP="00B133F5">
            <w:pPr>
              <w:pStyle w:val="ListParagraph"/>
              <w:numPr>
                <w:ilvl w:val="0"/>
                <w:numId w:val="14"/>
              </w:numPr>
              <w:rPr>
                <w:rFonts w:cs="Arial"/>
                <w:lang w:eastAsia="en-GB"/>
              </w:rPr>
            </w:pPr>
            <w:r>
              <w:rPr>
                <w:rFonts w:cs="Arial"/>
                <w:lang w:eastAsia="en-GB"/>
              </w:rPr>
              <w:t>Actions</w:t>
            </w:r>
            <w:r w:rsidR="00232F05">
              <w:rPr>
                <w:rFonts w:cs="Arial"/>
                <w:lang w:eastAsia="en-GB"/>
              </w:rPr>
              <w:t xml:space="preserve"> would depend on </w:t>
            </w:r>
            <w:r>
              <w:rPr>
                <w:rFonts w:cs="Arial"/>
                <w:lang w:eastAsia="en-GB"/>
              </w:rPr>
              <w:t xml:space="preserve">specific </w:t>
            </w:r>
            <w:proofErr w:type="gramStart"/>
            <w:r>
              <w:rPr>
                <w:rFonts w:cs="Arial"/>
                <w:lang w:eastAsia="en-GB"/>
              </w:rPr>
              <w:t>issues</w:t>
            </w:r>
            <w:proofErr w:type="gramEnd"/>
          </w:p>
          <w:p w14:paraId="72E1EA1D" w14:textId="77777777" w:rsidR="00CA74C6" w:rsidRPr="006F52F2" w:rsidRDefault="00CA74C6" w:rsidP="00861472">
            <w:pPr>
              <w:pStyle w:val="ListParagraph"/>
              <w:ind w:left="360"/>
              <w:rPr>
                <w:rFonts w:cs="Arial"/>
                <w:lang w:eastAsia="en-GB"/>
              </w:rPr>
            </w:pPr>
          </w:p>
        </w:tc>
        <w:tc>
          <w:tcPr>
            <w:tcW w:w="1784" w:type="dxa"/>
          </w:tcPr>
          <w:p w14:paraId="5FDF5F3B" w14:textId="77777777" w:rsidR="00CA74C6" w:rsidRPr="00CA74C6" w:rsidRDefault="00CA74C6" w:rsidP="00D34199">
            <w:pPr>
              <w:rPr>
                <w:rFonts w:cs="Arial"/>
                <w:b/>
                <w:lang w:eastAsia="en-GB"/>
              </w:rPr>
            </w:pPr>
            <w:r w:rsidRPr="00CA74C6">
              <w:rPr>
                <w:rFonts w:cs="Arial"/>
                <w:b/>
                <w:lang w:eastAsia="en-GB"/>
              </w:rPr>
              <w:t>Board</w:t>
            </w:r>
          </w:p>
          <w:p w14:paraId="17554EA6" w14:textId="77777777" w:rsidR="00CA74C6" w:rsidRPr="00CA74C6" w:rsidRDefault="00CA74C6" w:rsidP="00D34199">
            <w:pPr>
              <w:rPr>
                <w:rFonts w:cs="Arial"/>
                <w:lang w:eastAsia="en-GB"/>
              </w:rPr>
            </w:pPr>
          </w:p>
          <w:p w14:paraId="3EB70594" w14:textId="4F7D62DC" w:rsidR="00CA74C6" w:rsidRPr="00CA74C6" w:rsidRDefault="00CA74C6" w:rsidP="00D34199">
            <w:pPr>
              <w:rPr>
                <w:rFonts w:cs="Arial"/>
                <w:lang w:eastAsia="en-GB"/>
              </w:rPr>
            </w:pPr>
            <w:r w:rsidRPr="00CA74C6">
              <w:rPr>
                <w:rFonts w:cs="Arial"/>
                <w:lang w:eastAsia="en-GB"/>
              </w:rPr>
              <w:t xml:space="preserve">Action: </w:t>
            </w:r>
            <w:r w:rsidR="004E6F94">
              <w:rPr>
                <w:rFonts w:cs="Arial"/>
                <w:lang w:eastAsia="en-GB"/>
              </w:rPr>
              <w:t>CEO &amp; COO</w:t>
            </w:r>
          </w:p>
        </w:tc>
        <w:tc>
          <w:tcPr>
            <w:tcW w:w="706" w:type="dxa"/>
            <w:shd w:val="clear" w:color="auto" w:fill="FF0000"/>
          </w:tcPr>
          <w:p w14:paraId="0E5DDF5A" w14:textId="35C1E0DA" w:rsidR="00CA74C6" w:rsidRPr="00CA74C6" w:rsidRDefault="006A29CC" w:rsidP="00E46B6F">
            <w:pPr>
              <w:jc w:val="center"/>
              <w:rPr>
                <w:rFonts w:cs="Arial"/>
                <w:b/>
              </w:rPr>
            </w:pPr>
            <w:r>
              <w:rPr>
                <w:rFonts w:cs="Arial"/>
                <w:b/>
              </w:rPr>
              <w:t>H</w:t>
            </w:r>
          </w:p>
        </w:tc>
        <w:tc>
          <w:tcPr>
            <w:tcW w:w="924" w:type="dxa"/>
            <w:shd w:val="clear" w:color="auto" w:fill="FFFFFF" w:themeFill="background1"/>
          </w:tcPr>
          <w:p w14:paraId="424E3857" w14:textId="77777777" w:rsidR="00CA74C6" w:rsidRPr="00CA74C6" w:rsidRDefault="00E46B6F" w:rsidP="00E46B6F">
            <w:pPr>
              <w:jc w:val="center"/>
              <w:rPr>
                <w:rFonts w:cs="Arial"/>
                <w:b/>
              </w:rPr>
            </w:pPr>
            <w:r>
              <w:rPr>
                <w:rFonts w:cs="Arial"/>
                <w:b/>
              </w:rPr>
              <w:t>↔</w:t>
            </w:r>
          </w:p>
        </w:tc>
      </w:tr>
      <w:tr w:rsidR="00E46B6F" w:rsidRPr="00CA74C6" w14:paraId="48E48E44" w14:textId="77777777" w:rsidTr="008050E1">
        <w:tc>
          <w:tcPr>
            <w:tcW w:w="645" w:type="dxa"/>
          </w:tcPr>
          <w:p w14:paraId="63D0C0E0" w14:textId="77777777" w:rsidR="00CA74C6" w:rsidRPr="00CA74C6" w:rsidRDefault="003F1D43" w:rsidP="00D34199">
            <w:pPr>
              <w:rPr>
                <w:rFonts w:ascii="Arial" w:hAnsi="Arial" w:cs="Arial"/>
              </w:rPr>
            </w:pPr>
            <w:r>
              <w:rPr>
                <w:rFonts w:ascii="Arial" w:hAnsi="Arial" w:cs="Arial"/>
              </w:rPr>
              <w:t>1.2</w:t>
            </w:r>
          </w:p>
        </w:tc>
        <w:tc>
          <w:tcPr>
            <w:tcW w:w="4462" w:type="dxa"/>
          </w:tcPr>
          <w:p w14:paraId="359D13D5" w14:textId="2EBD48EE" w:rsidR="00387828" w:rsidRDefault="00CA74C6" w:rsidP="00CA74C6">
            <w:pPr>
              <w:rPr>
                <w:rFonts w:cs="Arial"/>
                <w:lang w:eastAsia="en-GB"/>
              </w:rPr>
            </w:pPr>
            <w:r w:rsidRPr="00CA74C6">
              <w:rPr>
                <w:rFonts w:cs="Arial"/>
                <w:lang w:eastAsia="en-GB"/>
              </w:rPr>
              <w:t>Changes to national</w:t>
            </w:r>
            <w:r w:rsidR="00C83632">
              <w:rPr>
                <w:rFonts w:cs="Arial"/>
                <w:lang w:eastAsia="en-GB"/>
              </w:rPr>
              <w:t xml:space="preserve">/ local </w:t>
            </w:r>
            <w:r w:rsidRPr="00CA74C6">
              <w:rPr>
                <w:rFonts w:cs="Arial"/>
                <w:lang w:eastAsia="en-GB"/>
              </w:rPr>
              <w:t>economic policy</w:t>
            </w:r>
            <w:r w:rsidR="00DE0960">
              <w:rPr>
                <w:rFonts w:cs="Arial"/>
                <w:lang w:eastAsia="en-GB"/>
              </w:rPr>
              <w:t xml:space="preserve"> through</w:t>
            </w:r>
            <w:r w:rsidR="00387828">
              <w:rPr>
                <w:rFonts w:cs="Arial"/>
                <w:lang w:eastAsia="en-GB"/>
              </w:rPr>
              <w:t>:</w:t>
            </w:r>
          </w:p>
          <w:p w14:paraId="5F5DE985" w14:textId="7B5E5598" w:rsidR="00387828" w:rsidRDefault="00DE0960" w:rsidP="00387828">
            <w:pPr>
              <w:pStyle w:val="ListParagraph"/>
              <w:numPr>
                <w:ilvl w:val="0"/>
                <w:numId w:val="11"/>
              </w:numPr>
              <w:ind w:hanging="267"/>
              <w:rPr>
                <w:rFonts w:cs="Arial"/>
                <w:lang w:eastAsia="en-GB"/>
              </w:rPr>
            </w:pPr>
            <w:r w:rsidRPr="00387828">
              <w:rPr>
                <w:rFonts w:cs="Arial"/>
                <w:lang w:eastAsia="en-GB"/>
              </w:rPr>
              <w:t xml:space="preserve">Government </w:t>
            </w:r>
            <w:r w:rsidR="00246BCA">
              <w:rPr>
                <w:rFonts w:cs="Arial"/>
                <w:lang w:eastAsia="en-GB"/>
              </w:rPr>
              <w:t xml:space="preserve">policies </w:t>
            </w:r>
            <w:r w:rsidRPr="00387828">
              <w:rPr>
                <w:rFonts w:cs="Arial"/>
                <w:lang w:eastAsia="en-GB"/>
              </w:rPr>
              <w:t>&amp; Ministers</w:t>
            </w:r>
          </w:p>
          <w:p w14:paraId="63188A6C" w14:textId="77777777" w:rsidR="00387828" w:rsidRDefault="00F05EC1" w:rsidP="00387828">
            <w:pPr>
              <w:pStyle w:val="ListParagraph"/>
              <w:numPr>
                <w:ilvl w:val="0"/>
                <w:numId w:val="11"/>
              </w:numPr>
              <w:ind w:hanging="267"/>
              <w:rPr>
                <w:rFonts w:cs="Arial"/>
                <w:lang w:eastAsia="en-GB"/>
              </w:rPr>
            </w:pPr>
            <w:r w:rsidRPr="00387828">
              <w:rPr>
                <w:rFonts w:cs="Arial"/>
                <w:lang w:eastAsia="en-GB"/>
              </w:rPr>
              <w:t>make up of HotSW MPs</w:t>
            </w:r>
          </w:p>
          <w:p w14:paraId="6D9ADE0B" w14:textId="7586405C" w:rsidR="00387828" w:rsidRDefault="00387828" w:rsidP="00387828">
            <w:pPr>
              <w:pStyle w:val="ListParagraph"/>
              <w:numPr>
                <w:ilvl w:val="0"/>
                <w:numId w:val="11"/>
              </w:numPr>
              <w:ind w:hanging="267"/>
              <w:rPr>
                <w:rFonts w:cs="Arial"/>
                <w:lang w:eastAsia="en-GB"/>
              </w:rPr>
            </w:pPr>
            <w:r>
              <w:rPr>
                <w:rFonts w:cs="Arial"/>
                <w:lang w:eastAsia="en-GB"/>
              </w:rPr>
              <w:t xml:space="preserve">advent of Western </w:t>
            </w:r>
            <w:r w:rsidR="005A16A6">
              <w:rPr>
                <w:rFonts w:cs="Arial"/>
                <w:lang w:eastAsia="en-GB"/>
              </w:rPr>
              <w:t>Gateway</w:t>
            </w:r>
            <w:r w:rsidR="00D11D9F">
              <w:rPr>
                <w:rFonts w:cs="Arial"/>
                <w:lang w:eastAsia="en-GB"/>
              </w:rPr>
              <w:t xml:space="preserve"> &amp; Great SW</w:t>
            </w:r>
          </w:p>
          <w:p w14:paraId="73B995E2" w14:textId="3A2CB4C0" w:rsidR="00C84F6D" w:rsidRDefault="0027602C" w:rsidP="00C84F6D">
            <w:pPr>
              <w:pStyle w:val="ListParagraph"/>
              <w:numPr>
                <w:ilvl w:val="0"/>
                <w:numId w:val="11"/>
              </w:numPr>
              <w:ind w:hanging="267"/>
              <w:rPr>
                <w:rFonts w:cs="Arial"/>
                <w:lang w:eastAsia="en-GB"/>
              </w:rPr>
            </w:pPr>
            <w:r>
              <w:rPr>
                <w:rFonts w:cs="Arial"/>
                <w:lang w:eastAsia="en-GB"/>
              </w:rPr>
              <w:t>Somerset local government reorganisation</w:t>
            </w:r>
          </w:p>
          <w:p w14:paraId="48C72415" w14:textId="54951F77" w:rsidR="00FC3485" w:rsidRDefault="00FC3485" w:rsidP="00C84F6D">
            <w:pPr>
              <w:pStyle w:val="ListParagraph"/>
              <w:numPr>
                <w:ilvl w:val="0"/>
                <w:numId w:val="11"/>
              </w:numPr>
              <w:ind w:hanging="267"/>
              <w:rPr>
                <w:rFonts w:cs="Arial"/>
                <w:lang w:eastAsia="en-GB"/>
              </w:rPr>
            </w:pPr>
            <w:r>
              <w:rPr>
                <w:rFonts w:cs="Arial"/>
                <w:lang w:eastAsia="en-GB"/>
              </w:rPr>
              <w:t>Devon devolution deal</w:t>
            </w:r>
          </w:p>
          <w:p w14:paraId="5A843973" w14:textId="3E0F804B" w:rsidR="00CA74C6" w:rsidRPr="00C84F6D" w:rsidRDefault="00CA74C6" w:rsidP="00C84F6D">
            <w:pPr>
              <w:ind w:left="93"/>
              <w:rPr>
                <w:rFonts w:cs="Arial"/>
                <w:lang w:eastAsia="en-GB"/>
              </w:rPr>
            </w:pPr>
            <w:r w:rsidRPr="00C84F6D">
              <w:rPr>
                <w:rFonts w:cs="Arial"/>
                <w:lang w:eastAsia="en-GB"/>
              </w:rPr>
              <w:lastRenderedPageBreak/>
              <w:t xml:space="preserve">compromise the relevance and deliverability of the LEP’s </w:t>
            </w:r>
            <w:r w:rsidR="00DE0960" w:rsidRPr="00C84F6D">
              <w:rPr>
                <w:rFonts w:cs="Arial"/>
                <w:lang w:eastAsia="en-GB"/>
              </w:rPr>
              <w:t>economic strategies</w:t>
            </w:r>
            <w:r w:rsidR="00387828" w:rsidRPr="00C84F6D">
              <w:rPr>
                <w:rFonts w:cs="Arial"/>
                <w:lang w:eastAsia="en-GB"/>
              </w:rPr>
              <w:t xml:space="preserve"> and/or risk fragmentation of the HotSW area</w:t>
            </w:r>
          </w:p>
        </w:tc>
        <w:tc>
          <w:tcPr>
            <w:tcW w:w="792" w:type="dxa"/>
          </w:tcPr>
          <w:p w14:paraId="1D9CD615" w14:textId="727EE276" w:rsidR="00CA74C6" w:rsidRPr="00CA74C6" w:rsidRDefault="00C45220" w:rsidP="00D34199">
            <w:pPr>
              <w:jc w:val="center"/>
              <w:rPr>
                <w:rFonts w:cs="Arial"/>
                <w:lang w:eastAsia="en-GB"/>
              </w:rPr>
            </w:pPr>
            <w:r>
              <w:rPr>
                <w:rFonts w:cs="Arial"/>
                <w:lang w:eastAsia="en-GB"/>
              </w:rPr>
              <w:lastRenderedPageBreak/>
              <w:t>H</w:t>
            </w:r>
          </w:p>
        </w:tc>
        <w:tc>
          <w:tcPr>
            <w:tcW w:w="861" w:type="dxa"/>
          </w:tcPr>
          <w:p w14:paraId="24CDAD49" w14:textId="08C2BBF6" w:rsidR="00CA74C6" w:rsidRPr="00CA74C6" w:rsidRDefault="008050E1" w:rsidP="00D34199">
            <w:pPr>
              <w:jc w:val="center"/>
              <w:rPr>
                <w:rFonts w:cs="Arial"/>
                <w:lang w:eastAsia="en-GB"/>
              </w:rPr>
            </w:pPr>
            <w:r>
              <w:rPr>
                <w:rFonts w:cs="Arial"/>
                <w:lang w:eastAsia="en-GB"/>
              </w:rPr>
              <w:t>H</w:t>
            </w:r>
          </w:p>
        </w:tc>
        <w:tc>
          <w:tcPr>
            <w:tcW w:w="788" w:type="dxa"/>
            <w:shd w:val="clear" w:color="auto" w:fill="FF0000"/>
          </w:tcPr>
          <w:p w14:paraId="017D9234" w14:textId="31B17FD8" w:rsidR="00CA74C6" w:rsidRPr="00CA74C6" w:rsidRDefault="008050E1" w:rsidP="00D34199">
            <w:pPr>
              <w:jc w:val="center"/>
              <w:rPr>
                <w:rFonts w:cs="Arial"/>
                <w:b/>
                <w:lang w:eastAsia="en-GB"/>
              </w:rPr>
            </w:pPr>
            <w:r>
              <w:rPr>
                <w:rFonts w:cs="Arial"/>
                <w:b/>
                <w:lang w:eastAsia="en-GB"/>
              </w:rPr>
              <w:t>H</w:t>
            </w:r>
          </w:p>
        </w:tc>
        <w:tc>
          <w:tcPr>
            <w:tcW w:w="4426" w:type="dxa"/>
          </w:tcPr>
          <w:p w14:paraId="66272E6B" w14:textId="5946F149" w:rsidR="006171C4" w:rsidRDefault="006171C4" w:rsidP="006171C4">
            <w:pPr>
              <w:pStyle w:val="ListParagraph"/>
              <w:numPr>
                <w:ilvl w:val="0"/>
                <w:numId w:val="21"/>
              </w:numPr>
              <w:rPr>
                <w:rFonts w:cs="Arial"/>
                <w:lang w:eastAsia="en-GB"/>
              </w:rPr>
            </w:pPr>
            <w:r>
              <w:rPr>
                <w:rFonts w:cs="Arial"/>
                <w:lang w:eastAsia="en-GB"/>
              </w:rPr>
              <w:t>Levelling Up</w:t>
            </w:r>
            <w:r w:rsidRPr="00C84F6D">
              <w:rPr>
                <w:rFonts w:cs="Arial"/>
                <w:lang w:eastAsia="en-GB"/>
              </w:rPr>
              <w:t xml:space="preserve"> White </w:t>
            </w:r>
            <w:proofErr w:type="gramStart"/>
            <w:r w:rsidRPr="00C84F6D">
              <w:rPr>
                <w:rFonts w:cs="Arial"/>
                <w:lang w:eastAsia="en-GB"/>
              </w:rPr>
              <w:t xml:space="preserve">Paper </w:t>
            </w:r>
            <w:r w:rsidR="00471E4E">
              <w:rPr>
                <w:rFonts w:cs="Arial"/>
                <w:lang w:eastAsia="en-GB"/>
              </w:rPr>
              <w:t xml:space="preserve"> &amp;</w:t>
            </w:r>
            <w:proofErr w:type="gramEnd"/>
            <w:r w:rsidR="00471E4E">
              <w:rPr>
                <w:rFonts w:cs="Arial"/>
                <w:lang w:eastAsia="en-GB"/>
              </w:rPr>
              <w:t xml:space="preserve"> Budget 2023 funding announcement </w:t>
            </w:r>
            <w:r>
              <w:rPr>
                <w:rFonts w:cs="Arial"/>
                <w:lang w:eastAsia="en-GB"/>
              </w:rPr>
              <w:t xml:space="preserve">published &amp; LEP working with local authority </w:t>
            </w:r>
            <w:r w:rsidR="00471E4E">
              <w:rPr>
                <w:rFonts w:cs="Arial"/>
                <w:lang w:eastAsia="en-GB"/>
              </w:rPr>
              <w:t xml:space="preserve">Govt &amp; </w:t>
            </w:r>
            <w:r>
              <w:rPr>
                <w:rFonts w:cs="Arial"/>
                <w:lang w:eastAsia="en-GB"/>
              </w:rPr>
              <w:t>CEX on integration planning</w:t>
            </w:r>
            <w:r w:rsidR="00547F26">
              <w:rPr>
                <w:rFonts w:cs="Arial"/>
                <w:lang w:eastAsia="en-GB"/>
              </w:rPr>
              <w:t>.</w:t>
            </w:r>
            <w:r>
              <w:rPr>
                <w:rFonts w:cs="Arial"/>
                <w:lang w:eastAsia="en-GB"/>
              </w:rPr>
              <w:t xml:space="preserve"> </w:t>
            </w:r>
          </w:p>
          <w:p w14:paraId="02D5B512" w14:textId="0B5CE54F" w:rsidR="00F05EC1" w:rsidRPr="00C84F6D" w:rsidRDefault="00DE5C79" w:rsidP="00C84F6D">
            <w:pPr>
              <w:pStyle w:val="ListParagraph"/>
              <w:numPr>
                <w:ilvl w:val="0"/>
                <w:numId w:val="21"/>
              </w:numPr>
              <w:rPr>
                <w:rFonts w:cs="Arial"/>
                <w:lang w:eastAsia="en-GB"/>
              </w:rPr>
            </w:pPr>
            <w:r>
              <w:rPr>
                <w:rFonts w:cs="Arial"/>
                <w:lang w:eastAsia="en-GB"/>
              </w:rPr>
              <w:t xml:space="preserve">Build Back Better plan </w:t>
            </w:r>
            <w:r w:rsidR="00CA74C6" w:rsidRPr="00C84F6D">
              <w:rPr>
                <w:rFonts w:cs="Arial"/>
                <w:lang w:eastAsia="en-GB"/>
              </w:rPr>
              <w:t>respond</w:t>
            </w:r>
            <w:r w:rsidR="00730EEE">
              <w:rPr>
                <w:rFonts w:cs="Arial"/>
                <w:lang w:eastAsia="en-GB"/>
              </w:rPr>
              <w:t>s</w:t>
            </w:r>
            <w:r w:rsidR="00CA74C6" w:rsidRPr="00C84F6D">
              <w:rPr>
                <w:rFonts w:cs="Arial"/>
                <w:lang w:eastAsia="en-GB"/>
              </w:rPr>
              <w:t xml:space="preserve"> to strategic and widely-recognised growth needs and opportunities</w:t>
            </w:r>
            <w:r w:rsidR="00730EEE">
              <w:rPr>
                <w:rFonts w:cs="Arial"/>
                <w:lang w:eastAsia="en-GB"/>
              </w:rPr>
              <w:t xml:space="preserve"> and incorporates the </w:t>
            </w:r>
            <w:r w:rsidR="00DE0960" w:rsidRPr="00C84F6D">
              <w:rPr>
                <w:rFonts w:cs="Arial"/>
                <w:lang w:eastAsia="en-GB"/>
              </w:rPr>
              <w:t>LIS</w:t>
            </w:r>
            <w:r w:rsidR="00521195">
              <w:rPr>
                <w:rFonts w:cs="Arial"/>
                <w:lang w:eastAsia="en-GB"/>
              </w:rPr>
              <w:t xml:space="preserve"> and</w:t>
            </w:r>
            <w:r w:rsidR="00F31B67">
              <w:rPr>
                <w:rFonts w:cs="Arial"/>
                <w:lang w:eastAsia="en-GB"/>
              </w:rPr>
              <w:t xml:space="preserve"> productivity strategy</w:t>
            </w:r>
            <w:r w:rsidR="00387828" w:rsidRPr="00C84F6D">
              <w:rPr>
                <w:rFonts w:cs="Arial"/>
                <w:lang w:eastAsia="en-GB"/>
              </w:rPr>
              <w:t>.</w:t>
            </w:r>
            <w:r w:rsidR="00F31B67">
              <w:rPr>
                <w:rFonts w:cs="Arial"/>
                <w:lang w:eastAsia="en-GB"/>
              </w:rPr>
              <w:t xml:space="preserve"> BBB endorsed by LEP Board and </w:t>
            </w:r>
            <w:proofErr w:type="spellStart"/>
            <w:r w:rsidR="00F31B67">
              <w:rPr>
                <w:rFonts w:cs="Arial"/>
                <w:lang w:eastAsia="en-GB"/>
              </w:rPr>
              <w:t>Jt</w:t>
            </w:r>
            <w:proofErr w:type="spellEnd"/>
            <w:r w:rsidR="00F31B67">
              <w:rPr>
                <w:rFonts w:cs="Arial"/>
                <w:lang w:eastAsia="en-GB"/>
              </w:rPr>
              <w:t xml:space="preserve"> Cttee</w:t>
            </w:r>
            <w:r w:rsidR="00DA1EB5">
              <w:rPr>
                <w:rFonts w:cs="Arial"/>
                <w:lang w:eastAsia="en-GB"/>
              </w:rPr>
              <w:t xml:space="preserve">: may </w:t>
            </w:r>
            <w:r w:rsidR="00DA1EB5">
              <w:rPr>
                <w:rFonts w:cs="Arial"/>
                <w:lang w:eastAsia="en-GB"/>
              </w:rPr>
              <w:lastRenderedPageBreak/>
              <w:t>be refreshed as Govt growth policy emerges</w:t>
            </w:r>
          </w:p>
          <w:p w14:paraId="175A1575" w14:textId="74AAFA54" w:rsidR="00EE65FE" w:rsidRDefault="00EE65FE" w:rsidP="00C84F6D">
            <w:pPr>
              <w:pStyle w:val="ListParagraph"/>
              <w:numPr>
                <w:ilvl w:val="0"/>
                <w:numId w:val="21"/>
              </w:numPr>
              <w:rPr>
                <w:rFonts w:cs="Arial"/>
                <w:lang w:eastAsia="en-GB"/>
              </w:rPr>
            </w:pPr>
            <w:r>
              <w:rPr>
                <w:rFonts w:cs="Arial"/>
                <w:lang w:eastAsia="en-GB"/>
              </w:rPr>
              <w:t xml:space="preserve">GSW </w:t>
            </w:r>
            <w:r w:rsidR="00C7733A">
              <w:rPr>
                <w:rFonts w:cs="Arial"/>
                <w:lang w:eastAsia="en-GB"/>
              </w:rPr>
              <w:t>funded 22/23 &amp;</w:t>
            </w:r>
            <w:r w:rsidR="00027DD4">
              <w:rPr>
                <w:rFonts w:cs="Arial"/>
                <w:lang w:eastAsia="en-GB"/>
              </w:rPr>
              <w:t xml:space="preserve"> </w:t>
            </w:r>
            <w:r>
              <w:rPr>
                <w:rFonts w:cs="Arial"/>
                <w:lang w:eastAsia="en-GB"/>
              </w:rPr>
              <w:t>an opportunity to set out the area’s proposition</w:t>
            </w:r>
            <w:r w:rsidR="00832181">
              <w:rPr>
                <w:rFonts w:cs="Arial"/>
                <w:lang w:eastAsia="en-GB"/>
              </w:rPr>
              <w:t xml:space="preserve"> with new Ministerial team</w:t>
            </w:r>
            <w:r w:rsidR="00547F26">
              <w:rPr>
                <w:rFonts w:cs="Arial"/>
                <w:lang w:eastAsia="en-GB"/>
              </w:rPr>
              <w:t>; priorities being agreed spring</w:t>
            </w:r>
            <w:r w:rsidR="009E7613">
              <w:rPr>
                <w:rFonts w:cs="Arial"/>
                <w:lang w:eastAsia="en-GB"/>
              </w:rPr>
              <w:t>/summer</w:t>
            </w:r>
            <w:r w:rsidR="00547F26">
              <w:rPr>
                <w:rFonts w:cs="Arial"/>
                <w:lang w:eastAsia="en-GB"/>
              </w:rPr>
              <w:t xml:space="preserve"> 2023</w:t>
            </w:r>
            <w:r w:rsidR="00C7733A">
              <w:rPr>
                <w:rFonts w:cs="Arial"/>
                <w:lang w:eastAsia="en-GB"/>
              </w:rPr>
              <w:t xml:space="preserve">. Also </w:t>
            </w:r>
            <w:r w:rsidR="00F65351">
              <w:rPr>
                <w:rFonts w:cs="Arial"/>
                <w:lang w:eastAsia="en-GB"/>
              </w:rPr>
              <w:t>reduces potential risk of fragmentation due to Western Gateway</w:t>
            </w:r>
          </w:p>
          <w:p w14:paraId="4BBC0326" w14:textId="77777777" w:rsidR="00CA74C6" w:rsidRPr="006F52F2" w:rsidRDefault="00CA74C6" w:rsidP="00547F26">
            <w:pPr>
              <w:pStyle w:val="ListParagraph"/>
              <w:ind w:left="360"/>
              <w:rPr>
                <w:rFonts w:cs="Arial"/>
                <w:lang w:eastAsia="en-GB"/>
              </w:rPr>
            </w:pPr>
          </w:p>
        </w:tc>
        <w:tc>
          <w:tcPr>
            <w:tcW w:w="1784" w:type="dxa"/>
          </w:tcPr>
          <w:p w14:paraId="06D1996E" w14:textId="77777777" w:rsidR="00CA74C6" w:rsidRPr="00CA74C6" w:rsidRDefault="00CA74C6" w:rsidP="00D34199">
            <w:pPr>
              <w:rPr>
                <w:rFonts w:cs="Arial"/>
                <w:b/>
                <w:lang w:eastAsia="en-GB"/>
              </w:rPr>
            </w:pPr>
            <w:r w:rsidRPr="00CA74C6">
              <w:rPr>
                <w:rFonts w:cs="Arial"/>
                <w:b/>
                <w:lang w:eastAsia="en-GB"/>
              </w:rPr>
              <w:lastRenderedPageBreak/>
              <w:t>Board</w:t>
            </w:r>
          </w:p>
          <w:p w14:paraId="31F7D586" w14:textId="77777777" w:rsidR="00CA74C6" w:rsidRPr="00CA74C6" w:rsidRDefault="00CA74C6" w:rsidP="00D34199">
            <w:pPr>
              <w:rPr>
                <w:rFonts w:cs="Arial"/>
                <w:lang w:eastAsia="en-GB"/>
              </w:rPr>
            </w:pPr>
          </w:p>
          <w:p w14:paraId="0BC730E0" w14:textId="77777777" w:rsidR="00CA74C6" w:rsidRPr="00CA74C6" w:rsidRDefault="00CA74C6" w:rsidP="00D34199">
            <w:pPr>
              <w:rPr>
                <w:rFonts w:cs="Arial"/>
                <w:lang w:eastAsia="en-GB"/>
              </w:rPr>
            </w:pPr>
            <w:r w:rsidRPr="00CA74C6">
              <w:rPr>
                <w:rFonts w:cs="Arial"/>
                <w:lang w:eastAsia="en-GB"/>
              </w:rPr>
              <w:t>Action: Management team</w:t>
            </w:r>
          </w:p>
        </w:tc>
        <w:tc>
          <w:tcPr>
            <w:tcW w:w="706" w:type="dxa"/>
            <w:shd w:val="clear" w:color="auto" w:fill="FFCC00"/>
          </w:tcPr>
          <w:p w14:paraId="73AAC7E1" w14:textId="2D8F80F6" w:rsidR="00CA74C6" w:rsidRPr="00CA74C6" w:rsidRDefault="00387828" w:rsidP="00E46B6F">
            <w:pPr>
              <w:jc w:val="center"/>
              <w:rPr>
                <w:rFonts w:cs="Arial"/>
                <w:b/>
              </w:rPr>
            </w:pPr>
            <w:r>
              <w:rPr>
                <w:rFonts w:cs="Arial"/>
                <w:b/>
              </w:rPr>
              <w:t>M</w:t>
            </w:r>
            <w:r w:rsidR="00471E4E">
              <w:rPr>
                <w:rFonts w:cs="Arial"/>
                <w:b/>
              </w:rPr>
              <w:t>/H</w:t>
            </w:r>
          </w:p>
        </w:tc>
        <w:tc>
          <w:tcPr>
            <w:tcW w:w="924" w:type="dxa"/>
            <w:shd w:val="clear" w:color="auto" w:fill="FFFFFF" w:themeFill="background1"/>
          </w:tcPr>
          <w:p w14:paraId="79C30004" w14:textId="6355176D" w:rsidR="00CA74C6" w:rsidRPr="00CA74C6" w:rsidRDefault="00AD41D2" w:rsidP="00E46B6F">
            <w:pPr>
              <w:jc w:val="center"/>
              <w:rPr>
                <w:rFonts w:cs="Arial"/>
                <w:b/>
              </w:rPr>
            </w:pPr>
            <w:r>
              <w:rPr>
                <w:rFonts w:cs="Arial"/>
                <w:b/>
              </w:rPr>
              <w:t>↔</w:t>
            </w:r>
          </w:p>
        </w:tc>
      </w:tr>
      <w:tr w:rsidR="00E46B6F" w:rsidRPr="00CA74C6" w14:paraId="177A217E" w14:textId="77777777" w:rsidTr="00565CB4">
        <w:tc>
          <w:tcPr>
            <w:tcW w:w="645" w:type="dxa"/>
          </w:tcPr>
          <w:p w14:paraId="0332A771" w14:textId="77777777" w:rsidR="00CA74C6" w:rsidRPr="00CA74C6" w:rsidRDefault="003F1D43" w:rsidP="00D34199">
            <w:pPr>
              <w:rPr>
                <w:rFonts w:ascii="Arial" w:hAnsi="Arial" w:cs="Arial"/>
              </w:rPr>
            </w:pPr>
            <w:r>
              <w:rPr>
                <w:rFonts w:ascii="Arial" w:hAnsi="Arial" w:cs="Arial"/>
              </w:rPr>
              <w:t>1.3</w:t>
            </w:r>
          </w:p>
        </w:tc>
        <w:tc>
          <w:tcPr>
            <w:tcW w:w="4462" w:type="dxa"/>
          </w:tcPr>
          <w:p w14:paraId="494E3A45" w14:textId="70B4A218" w:rsidR="00CA74C6" w:rsidRPr="00E46B6F" w:rsidRDefault="00CA74C6" w:rsidP="00D34199">
            <w:pPr>
              <w:rPr>
                <w:rFonts w:cs="Arial"/>
                <w:lang w:eastAsia="en-GB"/>
              </w:rPr>
            </w:pPr>
            <w:r w:rsidRPr="00E46B6F">
              <w:rPr>
                <w:rFonts w:cs="Arial"/>
                <w:lang w:eastAsia="en-GB"/>
              </w:rPr>
              <w:t xml:space="preserve">An inability to amend LEP priorities and leads to insufficient flexibility to respond to changes in local need/opportunity which compromises the effectiveness of the LEP   </w:t>
            </w:r>
          </w:p>
        </w:tc>
        <w:tc>
          <w:tcPr>
            <w:tcW w:w="792" w:type="dxa"/>
          </w:tcPr>
          <w:p w14:paraId="591E46F4" w14:textId="77777777" w:rsidR="00CA74C6" w:rsidRPr="00E46B6F" w:rsidRDefault="00CA74C6" w:rsidP="00D34199">
            <w:pPr>
              <w:jc w:val="center"/>
              <w:rPr>
                <w:rFonts w:cs="Arial"/>
                <w:lang w:eastAsia="en-GB"/>
              </w:rPr>
            </w:pPr>
            <w:r w:rsidRPr="00E46B6F">
              <w:rPr>
                <w:rFonts w:cs="Arial"/>
                <w:lang w:eastAsia="en-GB"/>
              </w:rPr>
              <w:t>L</w:t>
            </w:r>
          </w:p>
        </w:tc>
        <w:tc>
          <w:tcPr>
            <w:tcW w:w="861" w:type="dxa"/>
          </w:tcPr>
          <w:p w14:paraId="7994DFF8" w14:textId="77777777" w:rsidR="00CA74C6" w:rsidRPr="00E46B6F" w:rsidRDefault="00CA74C6" w:rsidP="00D34199">
            <w:pPr>
              <w:jc w:val="center"/>
              <w:rPr>
                <w:rFonts w:cs="Arial"/>
                <w:lang w:eastAsia="en-GB"/>
              </w:rPr>
            </w:pPr>
            <w:r w:rsidRPr="00E46B6F">
              <w:rPr>
                <w:rFonts w:cs="Arial"/>
                <w:lang w:eastAsia="en-GB"/>
              </w:rPr>
              <w:t>M</w:t>
            </w:r>
          </w:p>
        </w:tc>
        <w:tc>
          <w:tcPr>
            <w:tcW w:w="788" w:type="dxa"/>
            <w:shd w:val="clear" w:color="auto" w:fill="FFCC00"/>
          </w:tcPr>
          <w:p w14:paraId="5F612B6C" w14:textId="77777777" w:rsidR="00CA74C6" w:rsidRPr="00E46B6F" w:rsidRDefault="00E46B6F" w:rsidP="00D34199">
            <w:pPr>
              <w:jc w:val="center"/>
              <w:rPr>
                <w:rFonts w:cs="Arial"/>
                <w:b/>
                <w:lang w:eastAsia="en-GB"/>
              </w:rPr>
            </w:pPr>
            <w:r>
              <w:rPr>
                <w:rFonts w:cs="Arial"/>
                <w:b/>
                <w:lang w:eastAsia="en-GB"/>
              </w:rPr>
              <w:t>M</w:t>
            </w:r>
          </w:p>
        </w:tc>
        <w:tc>
          <w:tcPr>
            <w:tcW w:w="4426" w:type="dxa"/>
          </w:tcPr>
          <w:p w14:paraId="2DCBB1AA" w14:textId="056671B3" w:rsidR="00E46B6F" w:rsidRPr="00E46B6F" w:rsidRDefault="00E46B6F" w:rsidP="00E46B6F">
            <w:pPr>
              <w:rPr>
                <w:rFonts w:cs="Arial"/>
                <w:lang w:eastAsia="en-GB"/>
              </w:rPr>
            </w:pPr>
            <w:r w:rsidRPr="00E46B6F">
              <w:rPr>
                <w:rFonts w:cs="Arial"/>
                <w:lang w:eastAsia="en-GB"/>
              </w:rPr>
              <w:t>The LEP governance arrangements are designed to be responsive allowing the ability to respond to new opportunities/risks</w:t>
            </w:r>
            <w:r w:rsidR="007738F1">
              <w:rPr>
                <w:rFonts w:cs="Arial"/>
                <w:lang w:eastAsia="en-GB"/>
              </w:rPr>
              <w:t xml:space="preserve">. The </w:t>
            </w:r>
            <w:r w:rsidR="00521195">
              <w:rPr>
                <w:rFonts w:cs="Arial"/>
                <w:lang w:eastAsia="en-GB"/>
              </w:rPr>
              <w:t xml:space="preserve">BBB </w:t>
            </w:r>
            <w:r w:rsidR="007738F1">
              <w:rPr>
                <w:rFonts w:cs="Arial"/>
                <w:lang w:eastAsia="en-GB"/>
              </w:rPr>
              <w:t>opportunities are</w:t>
            </w:r>
            <w:r w:rsidRPr="00E46B6F">
              <w:rPr>
                <w:rFonts w:cs="Arial"/>
                <w:lang w:eastAsia="en-GB"/>
              </w:rPr>
              <w:t xml:space="preserve"> sufficiently broad to allow for tactical changes of direction. </w:t>
            </w:r>
          </w:p>
          <w:p w14:paraId="7A6BA204" w14:textId="77777777" w:rsidR="00CA74C6" w:rsidRPr="00E46B6F" w:rsidRDefault="00CA74C6" w:rsidP="00D34199">
            <w:pPr>
              <w:rPr>
                <w:rFonts w:cs="Arial"/>
                <w:highlight w:val="yellow"/>
                <w:lang w:eastAsia="en-GB"/>
              </w:rPr>
            </w:pPr>
          </w:p>
        </w:tc>
        <w:tc>
          <w:tcPr>
            <w:tcW w:w="1784" w:type="dxa"/>
          </w:tcPr>
          <w:p w14:paraId="0E337CCD" w14:textId="36585907" w:rsidR="00CA74C6" w:rsidRPr="00E46B6F" w:rsidRDefault="00CA74C6" w:rsidP="00D34199">
            <w:pPr>
              <w:rPr>
                <w:rFonts w:cs="Arial"/>
                <w:b/>
                <w:lang w:eastAsia="en-GB"/>
              </w:rPr>
            </w:pPr>
            <w:r w:rsidRPr="00E46B6F">
              <w:rPr>
                <w:rFonts w:cs="Arial"/>
                <w:b/>
                <w:lang w:eastAsia="en-GB"/>
              </w:rPr>
              <w:t xml:space="preserve">Board &amp; </w:t>
            </w:r>
            <w:r w:rsidR="003536BD">
              <w:rPr>
                <w:rFonts w:cs="Arial"/>
                <w:b/>
                <w:lang w:eastAsia="en-GB"/>
              </w:rPr>
              <w:t>OIC</w:t>
            </w:r>
          </w:p>
          <w:p w14:paraId="68477600" w14:textId="77777777" w:rsidR="00CA74C6" w:rsidRPr="00E46B6F" w:rsidRDefault="00CA74C6" w:rsidP="00D34199">
            <w:pPr>
              <w:rPr>
                <w:rFonts w:cs="Arial"/>
                <w:lang w:eastAsia="en-GB"/>
              </w:rPr>
            </w:pPr>
          </w:p>
          <w:p w14:paraId="1886BA50" w14:textId="77777777" w:rsidR="00CA74C6" w:rsidRPr="00E46B6F" w:rsidRDefault="00CA74C6" w:rsidP="00D34199">
            <w:pPr>
              <w:rPr>
                <w:rFonts w:cs="Arial"/>
                <w:lang w:eastAsia="en-GB"/>
              </w:rPr>
            </w:pPr>
            <w:r w:rsidRPr="00E46B6F">
              <w:rPr>
                <w:rFonts w:cs="Arial"/>
                <w:lang w:eastAsia="en-GB"/>
              </w:rPr>
              <w:t>Action: Management team</w:t>
            </w:r>
          </w:p>
        </w:tc>
        <w:tc>
          <w:tcPr>
            <w:tcW w:w="706" w:type="dxa"/>
            <w:shd w:val="clear" w:color="auto" w:fill="00CC00"/>
          </w:tcPr>
          <w:p w14:paraId="03A66083" w14:textId="77777777" w:rsidR="00CA74C6" w:rsidRPr="00E46B6F" w:rsidRDefault="00E46B6F" w:rsidP="00E46B6F">
            <w:pPr>
              <w:jc w:val="center"/>
              <w:rPr>
                <w:rFonts w:cs="Arial"/>
                <w:b/>
              </w:rPr>
            </w:pPr>
            <w:r w:rsidRPr="00E46B6F">
              <w:rPr>
                <w:rFonts w:cs="Arial"/>
                <w:b/>
              </w:rPr>
              <w:t>L</w:t>
            </w:r>
          </w:p>
        </w:tc>
        <w:tc>
          <w:tcPr>
            <w:tcW w:w="924" w:type="dxa"/>
          </w:tcPr>
          <w:p w14:paraId="20D14614" w14:textId="77777777" w:rsidR="00CA74C6" w:rsidRPr="00E46B6F" w:rsidRDefault="00E46B6F" w:rsidP="00E46B6F">
            <w:pPr>
              <w:jc w:val="center"/>
              <w:rPr>
                <w:rFonts w:cs="Arial"/>
              </w:rPr>
            </w:pPr>
            <w:r>
              <w:rPr>
                <w:rFonts w:cs="Arial"/>
                <w:b/>
              </w:rPr>
              <w:t>↔</w:t>
            </w:r>
          </w:p>
        </w:tc>
      </w:tr>
      <w:tr w:rsidR="00E46B6F" w:rsidRPr="00CA74C6" w14:paraId="6CDABCE0" w14:textId="77777777" w:rsidTr="00565CB4">
        <w:tc>
          <w:tcPr>
            <w:tcW w:w="645" w:type="dxa"/>
          </w:tcPr>
          <w:p w14:paraId="4363A967" w14:textId="77777777" w:rsidR="00CA74C6" w:rsidRPr="00CA74C6" w:rsidRDefault="003F1D43" w:rsidP="00D34199">
            <w:pPr>
              <w:rPr>
                <w:rFonts w:ascii="Arial" w:hAnsi="Arial" w:cs="Arial"/>
              </w:rPr>
            </w:pPr>
            <w:r>
              <w:rPr>
                <w:rFonts w:ascii="Arial" w:hAnsi="Arial" w:cs="Arial"/>
              </w:rPr>
              <w:t>1.4</w:t>
            </w:r>
          </w:p>
        </w:tc>
        <w:tc>
          <w:tcPr>
            <w:tcW w:w="4462" w:type="dxa"/>
          </w:tcPr>
          <w:p w14:paraId="6166AAF5" w14:textId="459ED34C" w:rsidR="00CA74C6" w:rsidRPr="00023021" w:rsidRDefault="00E46B6F" w:rsidP="00D34199">
            <w:pPr>
              <w:rPr>
                <w:rFonts w:cs="Arial"/>
                <w:lang w:eastAsia="en-GB"/>
              </w:rPr>
            </w:pPr>
            <w:r w:rsidRPr="00023021">
              <w:rPr>
                <w:rFonts w:cs="Arial"/>
                <w:lang w:eastAsia="en-GB"/>
              </w:rPr>
              <w:t xml:space="preserve">Individual LEP partners or groups of LEP partners </w:t>
            </w:r>
            <w:r w:rsidR="00B93AE5">
              <w:rPr>
                <w:rFonts w:cs="Arial"/>
                <w:lang w:eastAsia="en-GB"/>
              </w:rPr>
              <w:t>could work</w:t>
            </w:r>
            <w:r w:rsidRPr="00023021">
              <w:rPr>
                <w:rFonts w:cs="Arial"/>
                <w:lang w:eastAsia="en-GB"/>
              </w:rPr>
              <w:t xml:space="preserve"> to </w:t>
            </w:r>
            <w:r w:rsidR="00D5318C">
              <w:rPr>
                <w:rFonts w:cs="Arial"/>
                <w:lang w:eastAsia="en-GB"/>
              </w:rPr>
              <w:t xml:space="preserve">priorities and </w:t>
            </w:r>
            <w:r w:rsidRPr="00023021">
              <w:rPr>
                <w:rFonts w:cs="Arial"/>
                <w:lang w:eastAsia="en-GB"/>
              </w:rPr>
              <w:t>economic strategies</w:t>
            </w:r>
            <w:r w:rsidR="00D5318C">
              <w:rPr>
                <w:rFonts w:cs="Arial"/>
                <w:lang w:eastAsia="en-GB"/>
              </w:rPr>
              <w:t>/</w:t>
            </w:r>
            <w:r w:rsidRPr="00023021">
              <w:rPr>
                <w:rFonts w:cs="Arial"/>
                <w:lang w:eastAsia="en-GB"/>
              </w:rPr>
              <w:t>plan</w:t>
            </w:r>
            <w:r w:rsidR="00B167C0">
              <w:rPr>
                <w:rFonts w:cs="Arial"/>
                <w:lang w:eastAsia="en-GB"/>
              </w:rPr>
              <w:t>s</w:t>
            </w:r>
            <w:r w:rsidRPr="00023021">
              <w:rPr>
                <w:rFonts w:cs="Arial"/>
                <w:lang w:eastAsia="en-GB"/>
              </w:rPr>
              <w:t xml:space="preserve"> that do not</w:t>
            </w:r>
            <w:r w:rsidR="00CA74C6" w:rsidRPr="00023021">
              <w:rPr>
                <w:rFonts w:cs="Arial"/>
                <w:lang w:eastAsia="en-GB"/>
              </w:rPr>
              <w:t xml:space="preserve"> align </w:t>
            </w:r>
            <w:r w:rsidRPr="00023021">
              <w:rPr>
                <w:rFonts w:cs="Arial"/>
                <w:lang w:eastAsia="en-GB"/>
              </w:rPr>
              <w:t xml:space="preserve">with the </w:t>
            </w:r>
            <w:r w:rsidR="008D3EB9">
              <w:rPr>
                <w:rFonts w:cs="Arial"/>
                <w:lang w:eastAsia="en-GB"/>
              </w:rPr>
              <w:t>Productivity Strategy</w:t>
            </w:r>
            <w:r w:rsidR="00223565">
              <w:rPr>
                <w:rFonts w:cs="Arial"/>
                <w:lang w:eastAsia="en-GB"/>
              </w:rPr>
              <w:t xml:space="preserve">/ </w:t>
            </w:r>
            <w:r w:rsidR="00521195">
              <w:rPr>
                <w:rFonts w:cs="Arial"/>
                <w:lang w:eastAsia="en-GB"/>
              </w:rPr>
              <w:t>BBB</w:t>
            </w:r>
            <w:r w:rsidRPr="00023021">
              <w:rPr>
                <w:rFonts w:cs="Arial"/>
                <w:lang w:eastAsia="en-GB"/>
              </w:rPr>
              <w:t xml:space="preserve">, resulting in </w:t>
            </w:r>
            <w:r w:rsidR="00CA74C6" w:rsidRPr="00023021">
              <w:rPr>
                <w:rFonts w:cs="Arial"/>
                <w:lang w:eastAsia="en-GB"/>
              </w:rPr>
              <w:t>missed opportunities to ma</w:t>
            </w:r>
            <w:r w:rsidRPr="00023021">
              <w:rPr>
                <w:rFonts w:cs="Arial"/>
                <w:lang w:eastAsia="en-GB"/>
              </w:rPr>
              <w:t>ximise added-value and impact.</w:t>
            </w:r>
          </w:p>
          <w:p w14:paraId="3AB97157" w14:textId="77777777" w:rsidR="00CA74C6" w:rsidRPr="00023021" w:rsidRDefault="00CA74C6" w:rsidP="00D34199">
            <w:pPr>
              <w:rPr>
                <w:rFonts w:cs="Arial"/>
                <w:lang w:eastAsia="en-GB"/>
              </w:rPr>
            </w:pPr>
          </w:p>
        </w:tc>
        <w:tc>
          <w:tcPr>
            <w:tcW w:w="792" w:type="dxa"/>
          </w:tcPr>
          <w:p w14:paraId="773DE580" w14:textId="77777777" w:rsidR="00CA74C6" w:rsidRPr="00023021" w:rsidRDefault="00CA74C6" w:rsidP="00D34199">
            <w:pPr>
              <w:jc w:val="center"/>
              <w:rPr>
                <w:rFonts w:cs="Arial"/>
                <w:lang w:eastAsia="en-GB"/>
              </w:rPr>
            </w:pPr>
            <w:r w:rsidRPr="00023021">
              <w:rPr>
                <w:rFonts w:cs="Arial"/>
                <w:lang w:eastAsia="en-GB"/>
              </w:rPr>
              <w:t>L</w:t>
            </w:r>
          </w:p>
        </w:tc>
        <w:tc>
          <w:tcPr>
            <w:tcW w:w="861" w:type="dxa"/>
          </w:tcPr>
          <w:p w14:paraId="1C9A69F8" w14:textId="77777777" w:rsidR="00CA74C6" w:rsidRPr="00023021" w:rsidRDefault="00023021" w:rsidP="00D34199">
            <w:pPr>
              <w:jc w:val="center"/>
              <w:rPr>
                <w:rFonts w:cs="Arial"/>
                <w:lang w:eastAsia="en-GB"/>
              </w:rPr>
            </w:pPr>
            <w:r w:rsidRPr="00023021">
              <w:rPr>
                <w:rFonts w:cs="Arial"/>
                <w:lang w:eastAsia="en-GB"/>
              </w:rPr>
              <w:t>H</w:t>
            </w:r>
          </w:p>
        </w:tc>
        <w:tc>
          <w:tcPr>
            <w:tcW w:w="788" w:type="dxa"/>
            <w:shd w:val="clear" w:color="auto" w:fill="FFCC00"/>
          </w:tcPr>
          <w:p w14:paraId="6AE01C58" w14:textId="77777777" w:rsidR="00CA74C6" w:rsidRPr="00023021" w:rsidRDefault="00023021" w:rsidP="00D34199">
            <w:pPr>
              <w:jc w:val="center"/>
              <w:rPr>
                <w:rFonts w:cs="Arial"/>
                <w:b/>
                <w:lang w:eastAsia="en-GB"/>
              </w:rPr>
            </w:pPr>
            <w:r w:rsidRPr="00023021">
              <w:rPr>
                <w:rFonts w:cs="Arial"/>
                <w:b/>
                <w:lang w:eastAsia="en-GB"/>
              </w:rPr>
              <w:t>M</w:t>
            </w:r>
          </w:p>
        </w:tc>
        <w:tc>
          <w:tcPr>
            <w:tcW w:w="4426" w:type="dxa"/>
          </w:tcPr>
          <w:p w14:paraId="32AC4039" w14:textId="49559C0F" w:rsidR="00CA74C6" w:rsidRPr="00B30D84" w:rsidRDefault="00023021" w:rsidP="00B30D84">
            <w:pPr>
              <w:pStyle w:val="ListParagraph"/>
              <w:numPr>
                <w:ilvl w:val="0"/>
                <w:numId w:val="29"/>
              </w:numPr>
              <w:rPr>
                <w:rFonts w:cs="Arial"/>
                <w:lang w:eastAsia="en-GB"/>
              </w:rPr>
            </w:pPr>
            <w:r w:rsidRPr="00B30D84">
              <w:rPr>
                <w:rFonts w:cs="Arial"/>
                <w:lang w:eastAsia="en-GB"/>
              </w:rPr>
              <w:t xml:space="preserve">The Board and supporting groups work closely with partnership organisations to ensure ongoing buy-in and support for </w:t>
            </w:r>
            <w:r w:rsidR="00475C5E">
              <w:rPr>
                <w:rFonts w:cs="Arial"/>
                <w:lang w:eastAsia="en-GB"/>
              </w:rPr>
              <w:t>the</w:t>
            </w:r>
            <w:r w:rsidRPr="00B30D84">
              <w:rPr>
                <w:rFonts w:cs="Arial"/>
                <w:lang w:eastAsia="en-GB"/>
              </w:rPr>
              <w:t xml:space="preserve"> jointly owned </w:t>
            </w:r>
            <w:r w:rsidR="008D3EB9" w:rsidRPr="00B30D84">
              <w:rPr>
                <w:rFonts w:cs="Arial"/>
                <w:lang w:eastAsia="en-GB"/>
              </w:rPr>
              <w:t>Productivity Strategy</w:t>
            </w:r>
            <w:r w:rsidR="00223565" w:rsidRPr="00B30D84">
              <w:rPr>
                <w:rFonts w:cs="Arial"/>
                <w:lang w:eastAsia="en-GB"/>
              </w:rPr>
              <w:t xml:space="preserve"> and </w:t>
            </w:r>
            <w:r w:rsidR="00521195" w:rsidRPr="00B30D84">
              <w:rPr>
                <w:rFonts w:cs="Arial"/>
                <w:lang w:eastAsia="en-GB"/>
              </w:rPr>
              <w:t>BBB plan</w:t>
            </w:r>
            <w:r w:rsidRPr="00B30D84">
              <w:rPr>
                <w:rFonts w:cs="Arial"/>
                <w:lang w:eastAsia="en-GB"/>
              </w:rPr>
              <w:t xml:space="preserve">. </w:t>
            </w:r>
            <w:r w:rsidR="00407B1A" w:rsidRPr="00B30D84">
              <w:rPr>
                <w:rFonts w:cs="Arial"/>
                <w:lang w:eastAsia="en-GB"/>
              </w:rPr>
              <w:t xml:space="preserve">Partner buy-in </w:t>
            </w:r>
            <w:r w:rsidR="008A1EE5" w:rsidRPr="00B30D84">
              <w:rPr>
                <w:rFonts w:cs="Arial"/>
                <w:lang w:eastAsia="en-GB"/>
              </w:rPr>
              <w:t xml:space="preserve">is </w:t>
            </w:r>
            <w:r w:rsidR="001C0C55" w:rsidRPr="00B30D84">
              <w:rPr>
                <w:rFonts w:cs="Arial"/>
                <w:lang w:eastAsia="en-GB"/>
              </w:rPr>
              <w:t>via</w:t>
            </w:r>
            <w:r w:rsidR="008A1EE5" w:rsidRPr="00B30D84">
              <w:rPr>
                <w:rFonts w:cs="Arial"/>
                <w:lang w:eastAsia="en-GB"/>
              </w:rPr>
              <w:t xml:space="preserve"> the</w:t>
            </w:r>
            <w:r w:rsidR="001C0C55" w:rsidRPr="00B30D84">
              <w:rPr>
                <w:rFonts w:cs="Arial"/>
                <w:lang w:eastAsia="en-GB"/>
              </w:rPr>
              <w:t xml:space="preserve"> Joint Committee alongside direct LEP </w:t>
            </w:r>
            <w:proofErr w:type="gramStart"/>
            <w:r w:rsidR="001C0C55" w:rsidRPr="00B30D84">
              <w:rPr>
                <w:rFonts w:cs="Arial"/>
                <w:lang w:eastAsia="en-GB"/>
              </w:rPr>
              <w:t>engagement</w:t>
            </w:r>
            <w:proofErr w:type="gramEnd"/>
          </w:p>
          <w:p w14:paraId="39A01518" w14:textId="06520C70" w:rsidR="00B30D84" w:rsidRPr="00B30D84" w:rsidRDefault="00B30D84" w:rsidP="00B30D84">
            <w:pPr>
              <w:pStyle w:val="ListParagraph"/>
              <w:numPr>
                <w:ilvl w:val="0"/>
                <w:numId w:val="29"/>
              </w:numPr>
              <w:rPr>
                <w:rFonts w:cs="Arial"/>
                <w:lang w:eastAsia="en-GB"/>
              </w:rPr>
            </w:pPr>
            <w:r w:rsidRPr="00B30D84">
              <w:rPr>
                <w:rFonts w:cs="Arial"/>
                <w:lang w:eastAsia="en-GB"/>
              </w:rPr>
              <w:t xml:space="preserve">GSW </w:t>
            </w:r>
            <w:r w:rsidR="00F96B90">
              <w:rPr>
                <w:rFonts w:cs="Arial"/>
                <w:lang w:eastAsia="en-GB"/>
              </w:rPr>
              <w:t>partnership board</w:t>
            </w:r>
            <w:r w:rsidRPr="00B30D84">
              <w:rPr>
                <w:rFonts w:cs="Arial"/>
                <w:lang w:eastAsia="en-GB"/>
              </w:rPr>
              <w:t xml:space="preserve"> incorporates all HotSW upper tier/ </w:t>
            </w:r>
            <w:proofErr w:type="gramStart"/>
            <w:r w:rsidRPr="00B30D84">
              <w:rPr>
                <w:rFonts w:cs="Arial"/>
                <w:lang w:eastAsia="en-GB"/>
              </w:rPr>
              <w:t>unitaries</w:t>
            </w:r>
            <w:proofErr w:type="gramEnd"/>
          </w:p>
          <w:p w14:paraId="1528A60C" w14:textId="77777777" w:rsidR="00CA74C6" w:rsidRPr="00023021" w:rsidRDefault="00CA74C6" w:rsidP="00D34199">
            <w:pPr>
              <w:rPr>
                <w:rFonts w:cs="Arial"/>
                <w:lang w:eastAsia="en-GB"/>
              </w:rPr>
            </w:pPr>
          </w:p>
        </w:tc>
        <w:tc>
          <w:tcPr>
            <w:tcW w:w="1784" w:type="dxa"/>
          </w:tcPr>
          <w:p w14:paraId="5376DDF2" w14:textId="52D4AAD9" w:rsidR="00CA74C6" w:rsidRPr="00023021" w:rsidRDefault="00CA74C6" w:rsidP="00D34199">
            <w:pPr>
              <w:rPr>
                <w:rFonts w:cs="Arial"/>
                <w:b/>
                <w:lang w:eastAsia="en-GB"/>
              </w:rPr>
            </w:pPr>
            <w:r w:rsidRPr="00023021">
              <w:rPr>
                <w:rFonts w:cs="Arial"/>
                <w:b/>
                <w:lang w:eastAsia="en-GB"/>
              </w:rPr>
              <w:t xml:space="preserve">Board &amp; </w:t>
            </w:r>
            <w:r w:rsidR="003536BD">
              <w:rPr>
                <w:rFonts w:cs="Arial"/>
                <w:b/>
                <w:lang w:eastAsia="en-GB"/>
              </w:rPr>
              <w:t>OIC</w:t>
            </w:r>
          </w:p>
          <w:p w14:paraId="122D609D" w14:textId="77777777" w:rsidR="00CA74C6" w:rsidRPr="00023021" w:rsidRDefault="00CA74C6" w:rsidP="00D34199">
            <w:pPr>
              <w:rPr>
                <w:rFonts w:cs="Arial"/>
                <w:lang w:eastAsia="en-GB"/>
              </w:rPr>
            </w:pPr>
          </w:p>
          <w:p w14:paraId="71E01663" w14:textId="77777777" w:rsidR="00CA74C6" w:rsidRPr="00023021" w:rsidRDefault="00CA74C6" w:rsidP="00D34199">
            <w:pPr>
              <w:rPr>
                <w:rFonts w:cs="Arial"/>
                <w:lang w:eastAsia="en-GB"/>
              </w:rPr>
            </w:pPr>
            <w:r w:rsidRPr="00023021">
              <w:rPr>
                <w:rFonts w:cs="Arial"/>
                <w:lang w:eastAsia="en-GB"/>
              </w:rPr>
              <w:t>Action: Management team</w:t>
            </w:r>
          </w:p>
        </w:tc>
        <w:tc>
          <w:tcPr>
            <w:tcW w:w="706" w:type="dxa"/>
            <w:shd w:val="clear" w:color="auto" w:fill="FFCC00"/>
          </w:tcPr>
          <w:p w14:paraId="3CC7CC60" w14:textId="77777777" w:rsidR="00CA74C6" w:rsidRPr="00023021" w:rsidRDefault="00023021" w:rsidP="00E46B6F">
            <w:pPr>
              <w:jc w:val="center"/>
              <w:rPr>
                <w:rFonts w:cs="Arial"/>
                <w:b/>
              </w:rPr>
            </w:pPr>
            <w:r w:rsidRPr="00023021">
              <w:rPr>
                <w:rFonts w:cs="Arial"/>
                <w:b/>
              </w:rPr>
              <w:t>M</w:t>
            </w:r>
          </w:p>
        </w:tc>
        <w:tc>
          <w:tcPr>
            <w:tcW w:w="924" w:type="dxa"/>
          </w:tcPr>
          <w:p w14:paraId="57F854D1" w14:textId="77777777" w:rsidR="00CA74C6" w:rsidRPr="00023021" w:rsidRDefault="003C5307" w:rsidP="00E46B6F">
            <w:pPr>
              <w:jc w:val="center"/>
              <w:rPr>
                <w:rFonts w:cs="Arial"/>
              </w:rPr>
            </w:pPr>
            <w:r w:rsidRPr="00023021">
              <w:rPr>
                <w:rFonts w:cs="Arial"/>
                <w:b/>
              </w:rPr>
              <w:t>↔</w:t>
            </w:r>
          </w:p>
        </w:tc>
      </w:tr>
      <w:tr w:rsidR="00521195" w:rsidRPr="00CA74C6" w14:paraId="3FBBE461" w14:textId="77777777" w:rsidTr="00565CB4">
        <w:tc>
          <w:tcPr>
            <w:tcW w:w="645" w:type="dxa"/>
          </w:tcPr>
          <w:p w14:paraId="6DC57659" w14:textId="2EB3ECA5" w:rsidR="00521195" w:rsidRDefault="00521195" w:rsidP="00874E89">
            <w:pPr>
              <w:rPr>
                <w:rFonts w:ascii="Arial" w:hAnsi="Arial" w:cs="Arial"/>
              </w:rPr>
            </w:pPr>
            <w:r>
              <w:rPr>
                <w:rFonts w:ascii="Arial" w:hAnsi="Arial" w:cs="Arial"/>
              </w:rPr>
              <w:t>1.5</w:t>
            </w:r>
          </w:p>
        </w:tc>
        <w:tc>
          <w:tcPr>
            <w:tcW w:w="4462" w:type="dxa"/>
          </w:tcPr>
          <w:p w14:paraId="2B473DD0" w14:textId="39B5FE51" w:rsidR="00B15FB4" w:rsidRDefault="005D39F5" w:rsidP="0027602C">
            <w:pPr>
              <w:rPr>
                <w:rFonts w:eastAsia="Times New Roman" w:cstheme="minorHAnsi"/>
                <w:lang w:eastAsia="en-GB"/>
              </w:rPr>
            </w:pPr>
            <w:r>
              <w:rPr>
                <w:rFonts w:eastAsia="Times New Roman" w:cstheme="minorHAnsi"/>
                <w:lang w:eastAsia="en-GB"/>
              </w:rPr>
              <w:t xml:space="preserve">Levelling up </w:t>
            </w:r>
            <w:r w:rsidR="002B5E8D">
              <w:rPr>
                <w:rFonts w:eastAsia="Times New Roman" w:cstheme="minorHAnsi"/>
                <w:lang w:eastAsia="en-GB"/>
              </w:rPr>
              <w:t>white paper</w:t>
            </w:r>
            <w:r w:rsidR="00705A40">
              <w:rPr>
                <w:rFonts w:eastAsia="Times New Roman" w:cstheme="minorHAnsi"/>
                <w:lang w:eastAsia="en-GB"/>
              </w:rPr>
              <w:t xml:space="preserve"> and Budget 2023 funding </w:t>
            </w:r>
            <w:r w:rsidR="00226D00">
              <w:rPr>
                <w:rFonts w:eastAsia="Times New Roman" w:cstheme="minorHAnsi"/>
                <w:lang w:eastAsia="en-GB"/>
              </w:rPr>
              <w:t>announcement</w:t>
            </w:r>
          </w:p>
          <w:p w14:paraId="6F4CF64F" w14:textId="6BC652BB" w:rsidR="008F74F5" w:rsidRDefault="00521195" w:rsidP="00B15FB4">
            <w:pPr>
              <w:pStyle w:val="ListParagraph"/>
              <w:numPr>
                <w:ilvl w:val="0"/>
                <w:numId w:val="11"/>
              </w:numPr>
              <w:rPr>
                <w:rFonts w:eastAsia="Times New Roman" w:cstheme="minorHAnsi"/>
                <w:lang w:eastAsia="en-GB"/>
              </w:rPr>
            </w:pPr>
            <w:r w:rsidRPr="008F74F5">
              <w:rPr>
                <w:rFonts w:eastAsia="Times New Roman" w:cstheme="minorHAnsi"/>
                <w:lang w:eastAsia="en-GB"/>
              </w:rPr>
              <w:t xml:space="preserve">creates uncertainty over medium-term future and role of the LEP which could reduce Board engagement and lead to higher staff </w:t>
            </w:r>
            <w:proofErr w:type="gramStart"/>
            <w:r w:rsidRPr="008F74F5">
              <w:rPr>
                <w:rFonts w:eastAsia="Times New Roman" w:cstheme="minorHAnsi"/>
                <w:lang w:eastAsia="en-GB"/>
              </w:rPr>
              <w:t>turnover</w:t>
            </w:r>
            <w:proofErr w:type="gramEnd"/>
            <w:r w:rsidR="00B15FB4" w:rsidRPr="008F74F5">
              <w:rPr>
                <w:rFonts w:eastAsia="Times New Roman" w:cstheme="minorHAnsi"/>
                <w:lang w:eastAsia="en-GB"/>
              </w:rPr>
              <w:t xml:space="preserve"> </w:t>
            </w:r>
          </w:p>
          <w:p w14:paraId="1DE5199A" w14:textId="0EDCA968" w:rsidR="00B15FB4" w:rsidRPr="008F74F5" w:rsidRDefault="006767B2" w:rsidP="008F74F5">
            <w:pPr>
              <w:pStyle w:val="ListParagraph"/>
              <w:numPr>
                <w:ilvl w:val="0"/>
                <w:numId w:val="11"/>
              </w:numPr>
              <w:rPr>
                <w:rFonts w:eastAsia="Times New Roman" w:cstheme="minorHAnsi"/>
                <w:lang w:eastAsia="en-GB"/>
              </w:rPr>
            </w:pPr>
            <w:r>
              <w:rPr>
                <w:rFonts w:eastAsia="Times New Roman" w:cstheme="minorHAnsi"/>
                <w:lang w:eastAsia="en-GB"/>
              </w:rPr>
              <w:t>p</w:t>
            </w:r>
            <w:r w:rsidR="008F74F5">
              <w:rPr>
                <w:rFonts w:eastAsia="Times New Roman" w:cstheme="minorHAnsi"/>
                <w:lang w:eastAsia="en-GB"/>
              </w:rPr>
              <w:t xml:space="preserve">otentially </w:t>
            </w:r>
            <w:r w:rsidR="00B15FB4" w:rsidRPr="008F74F5">
              <w:rPr>
                <w:rFonts w:eastAsia="Times New Roman" w:cstheme="minorHAnsi"/>
                <w:lang w:eastAsia="en-GB"/>
              </w:rPr>
              <w:t xml:space="preserve">reduces the ability of HotSW to make an impact in developing the area’s </w:t>
            </w:r>
            <w:proofErr w:type="gramStart"/>
            <w:r w:rsidR="00B15FB4" w:rsidRPr="008F74F5">
              <w:rPr>
                <w:rFonts w:eastAsia="Times New Roman" w:cstheme="minorHAnsi"/>
                <w:lang w:eastAsia="en-GB"/>
              </w:rPr>
              <w:t>economy</w:t>
            </w:r>
            <w:proofErr w:type="gramEnd"/>
          </w:p>
          <w:p w14:paraId="4B5A15F7" w14:textId="0B032A41" w:rsidR="00521195" w:rsidRPr="00CB79C2" w:rsidRDefault="00521195" w:rsidP="0027602C">
            <w:pPr>
              <w:rPr>
                <w:rFonts w:eastAsia="Times New Roman" w:cstheme="minorHAnsi"/>
                <w:lang w:eastAsia="en-GB"/>
              </w:rPr>
            </w:pPr>
          </w:p>
        </w:tc>
        <w:tc>
          <w:tcPr>
            <w:tcW w:w="792" w:type="dxa"/>
          </w:tcPr>
          <w:p w14:paraId="5A097248" w14:textId="65F6FB0D" w:rsidR="00521195" w:rsidRDefault="00521195" w:rsidP="00874E89">
            <w:pPr>
              <w:jc w:val="center"/>
              <w:rPr>
                <w:rFonts w:cs="Arial"/>
                <w:lang w:eastAsia="en-GB"/>
              </w:rPr>
            </w:pPr>
            <w:r>
              <w:rPr>
                <w:rFonts w:cs="Arial"/>
                <w:lang w:eastAsia="en-GB"/>
              </w:rPr>
              <w:lastRenderedPageBreak/>
              <w:t>M</w:t>
            </w:r>
          </w:p>
        </w:tc>
        <w:tc>
          <w:tcPr>
            <w:tcW w:w="861" w:type="dxa"/>
          </w:tcPr>
          <w:p w14:paraId="37720DEC" w14:textId="4F0A0C7F" w:rsidR="00521195" w:rsidRPr="007229BB" w:rsidRDefault="00521195" w:rsidP="00874E89">
            <w:pPr>
              <w:jc w:val="center"/>
              <w:rPr>
                <w:rFonts w:cs="Arial"/>
                <w:lang w:eastAsia="en-GB"/>
              </w:rPr>
            </w:pPr>
            <w:r>
              <w:rPr>
                <w:rFonts w:cs="Arial"/>
                <w:lang w:eastAsia="en-GB"/>
              </w:rPr>
              <w:t>H</w:t>
            </w:r>
          </w:p>
        </w:tc>
        <w:tc>
          <w:tcPr>
            <w:tcW w:w="788" w:type="dxa"/>
            <w:shd w:val="clear" w:color="auto" w:fill="FF0000"/>
          </w:tcPr>
          <w:p w14:paraId="2D8CE170" w14:textId="48537A64" w:rsidR="00521195" w:rsidRDefault="00906294" w:rsidP="00874E89">
            <w:pPr>
              <w:jc w:val="center"/>
              <w:rPr>
                <w:rFonts w:cs="Arial"/>
                <w:b/>
                <w:lang w:eastAsia="en-GB"/>
              </w:rPr>
            </w:pPr>
            <w:r>
              <w:rPr>
                <w:rFonts w:cs="Arial"/>
                <w:b/>
                <w:lang w:eastAsia="en-GB"/>
              </w:rPr>
              <w:t>M/</w:t>
            </w:r>
            <w:r w:rsidR="00DF7B89">
              <w:rPr>
                <w:rFonts w:cs="Arial"/>
                <w:b/>
                <w:lang w:eastAsia="en-GB"/>
              </w:rPr>
              <w:t>H</w:t>
            </w:r>
          </w:p>
        </w:tc>
        <w:tc>
          <w:tcPr>
            <w:tcW w:w="4426" w:type="dxa"/>
          </w:tcPr>
          <w:p w14:paraId="502F08CE" w14:textId="05BA6FBC" w:rsidR="00F735D9" w:rsidRDefault="00F735D9" w:rsidP="003F1B68">
            <w:pPr>
              <w:pStyle w:val="ListParagraph"/>
              <w:numPr>
                <w:ilvl w:val="0"/>
                <w:numId w:val="13"/>
              </w:numPr>
              <w:rPr>
                <w:rFonts w:eastAsia="Times New Roman" w:cstheme="minorHAnsi"/>
                <w:lang w:eastAsia="en-GB"/>
              </w:rPr>
            </w:pPr>
            <w:r>
              <w:rPr>
                <w:rFonts w:eastAsia="Times New Roman" w:cstheme="minorHAnsi"/>
                <w:lang w:eastAsia="en-GB"/>
              </w:rPr>
              <w:t>Board regularly updated on prospective devo deal</w:t>
            </w:r>
            <w:r w:rsidR="00646E5B">
              <w:rPr>
                <w:rFonts w:eastAsia="Times New Roman" w:cstheme="minorHAnsi"/>
                <w:lang w:eastAsia="en-GB"/>
              </w:rPr>
              <w:t xml:space="preserve"> &amp; LEP working with</w:t>
            </w:r>
            <w:r w:rsidR="00705A40">
              <w:rPr>
                <w:rFonts w:eastAsia="Times New Roman" w:cstheme="minorHAnsi"/>
                <w:lang w:eastAsia="en-GB"/>
              </w:rPr>
              <w:t xml:space="preserve"> Govt &amp;</w:t>
            </w:r>
            <w:r w:rsidR="00646E5B">
              <w:rPr>
                <w:rFonts w:eastAsia="Times New Roman" w:cstheme="minorHAnsi"/>
                <w:lang w:eastAsia="en-GB"/>
              </w:rPr>
              <w:t xml:space="preserve"> LA CEX on an integration </w:t>
            </w:r>
            <w:proofErr w:type="gramStart"/>
            <w:r w:rsidR="00646E5B">
              <w:rPr>
                <w:rFonts w:eastAsia="Times New Roman" w:cstheme="minorHAnsi"/>
                <w:lang w:eastAsia="en-GB"/>
              </w:rPr>
              <w:t>plan</w:t>
            </w:r>
            <w:proofErr w:type="gramEnd"/>
          </w:p>
          <w:p w14:paraId="66A079E1" w14:textId="05613250" w:rsidR="00521195" w:rsidRDefault="005B5942" w:rsidP="003F1B68">
            <w:pPr>
              <w:pStyle w:val="ListParagraph"/>
              <w:numPr>
                <w:ilvl w:val="0"/>
                <w:numId w:val="13"/>
              </w:numPr>
              <w:rPr>
                <w:rFonts w:eastAsia="Times New Roman" w:cstheme="minorHAnsi"/>
                <w:lang w:eastAsia="en-GB"/>
              </w:rPr>
            </w:pPr>
            <w:r>
              <w:rPr>
                <w:rFonts w:eastAsia="Times New Roman" w:cstheme="minorHAnsi"/>
                <w:lang w:eastAsia="en-GB"/>
              </w:rPr>
              <w:t xml:space="preserve">Board </w:t>
            </w:r>
            <w:r w:rsidR="00FF4210">
              <w:rPr>
                <w:rFonts w:eastAsia="Times New Roman" w:cstheme="minorHAnsi"/>
                <w:lang w:eastAsia="en-GB"/>
              </w:rPr>
              <w:t xml:space="preserve">agreed </w:t>
            </w:r>
            <w:r>
              <w:rPr>
                <w:rFonts w:eastAsia="Times New Roman" w:cstheme="minorHAnsi"/>
                <w:lang w:eastAsia="en-GB"/>
              </w:rPr>
              <w:t xml:space="preserve">to develop </w:t>
            </w:r>
            <w:r w:rsidR="00243B21">
              <w:rPr>
                <w:rFonts w:eastAsia="Times New Roman" w:cstheme="minorHAnsi"/>
                <w:lang w:eastAsia="en-GB"/>
              </w:rPr>
              <w:t xml:space="preserve">budget for full year </w:t>
            </w:r>
            <w:r>
              <w:rPr>
                <w:rFonts w:eastAsia="Times New Roman" w:cstheme="minorHAnsi"/>
                <w:lang w:eastAsia="en-GB"/>
              </w:rPr>
              <w:t>23/24</w:t>
            </w:r>
            <w:r w:rsidR="00243B21">
              <w:rPr>
                <w:rFonts w:eastAsia="Times New Roman" w:cstheme="minorHAnsi"/>
                <w:lang w:eastAsia="en-GB"/>
              </w:rPr>
              <w:t xml:space="preserve"> </w:t>
            </w:r>
            <w:proofErr w:type="gramStart"/>
            <w:r w:rsidR="00243B21">
              <w:rPr>
                <w:rFonts w:eastAsia="Times New Roman" w:cstheme="minorHAnsi"/>
                <w:lang w:eastAsia="en-GB"/>
              </w:rPr>
              <w:t>operation</w:t>
            </w:r>
            <w:proofErr w:type="gramEnd"/>
          </w:p>
          <w:p w14:paraId="27C319EE" w14:textId="79304BE1" w:rsidR="00CE2984" w:rsidRDefault="00CE2984" w:rsidP="003F1B68">
            <w:pPr>
              <w:pStyle w:val="ListParagraph"/>
              <w:numPr>
                <w:ilvl w:val="0"/>
                <w:numId w:val="13"/>
              </w:numPr>
              <w:rPr>
                <w:rFonts w:eastAsia="Times New Roman" w:cstheme="minorHAnsi"/>
                <w:lang w:eastAsia="en-GB"/>
              </w:rPr>
            </w:pPr>
            <w:r>
              <w:rPr>
                <w:rFonts w:eastAsia="Times New Roman" w:cstheme="minorHAnsi"/>
                <w:lang w:eastAsia="en-GB"/>
              </w:rPr>
              <w:t xml:space="preserve">Delivery of Getting Building Fund on-going and on track to meet </w:t>
            </w:r>
            <w:proofErr w:type="gramStart"/>
            <w:r>
              <w:rPr>
                <w:rFonts w:eastAsia="Times New Roman" w:cstheme="minorHAnsi"/>
                <w:lang w:eastAsia="en-GB"/>
              </w:rPr>
              <w:t>milestones</w:t>
            </w:r>
            <w:proofErr w:type="gramEnd"/>
          </w:p>
          <w:p w14:paraId="171AB5B0" w14:textId="0CB04A4D" w:rsidR="008F74F5" w:rsidRDefault="005E60BB" w:rsidP="003F1B68">
            <w:pPr>
              <w:pStyle w:val="ListParagraph"/>
              <w:numPr>
                <w:ilvl w:val="0"/>
                <w:numId w:val="13"/>
              </w:numPr>
              <w:rPr>
                <w:rFonts w:eastAsia="Times New Roman" w:cstheme="minorHAnsi"/>
                <w:lang w:eastAsia="en-GB"/>
              </w:rPr>
            </w:pPr>
            <w:r>
              <w:rPr>
                <w:rFonts w:eastAsia="Times New Roman" w:cstheme="minorHAnsi"/>
                <w:lang w:eastAsia="en-GB"/>
              </w:rPr>
              <w:t xml:space="preserve">23/24 workplan </w:t>
            </w:r>
            <w:r w:rsidR="00585A46">
              <w:rPr>
                <w:rFonts w:eastAsia="Times New Roman" w:cstheme="minorHAnsi"/>
                <w:lang w:eastAsia="en-GB"/>
              </w:rPr>
              <w:t>developed setting out key actions to end Mar 24</w:t>
            </w:r>
          </w:p>
          <w:p w14:paraId="10B16334" w14:textId="6F502EE5" w:rsidR="00CE2984" w:rsidRPr="003F1B68" w:rsidRDefault="00CE2984" w:rsidP="0033456B">
            <w:pPr>
              <w:pStyle w:val="ListParagraph"/>
              <w:ind w:left="360"/>
              <w:rPr>
                <w:rFonts w:eastAsia="Times New Roman" w:cstheme="minorHAnsi"/>
                <w:lang w:eastAsia="en-GB"/>
              </w:rPr>
            </w:pPr>
          </w:p>
        </w:tc>
        <w:tc>
          <w:tcPr>
            <w:tcW w:w="1784" w:type="dxa"/>
          </w:tcPr>
          <w:p w14:paraId="00376962" w14:textId="412B401A" w:rsidR="00521195" w:rsidRPr="00874E89" w:rsidRDefault="00521195" w:rsidP="00E8246A">
            <w:pPr>
              <w:rPr>
                <w:rFonts w:cs="Arial"/>
                <w:b/>
                <w:lang w:eastAsia="en-GB"/>
              </w:rPr>
            </w:pPr>
            <w:r>
              <w:rPr>
                <w:rFonts w:cs="Arial"/>
                <w:b/>
                <w:lang w:eastAsia="en-GB"/>
              </w:rPr>
              <w:lastRenderedPageBreak/>
              <w:t>Board &amp; CEX</w:t>
            </w:r>
          </w:p>
        </w:tc>
        <w:tc>
          <w:tcPr>
            <w:tcW w:w="706" w:type="dxa"/>
            <w:shd w:val="clear" w:color="auto" w:fill="FFCC00"/>
          </w:tcPr>
          <w:p w14:paraId="68D27D83" w14:textId="33470342" w:rsidR="00521195" w:rsidRDefault="00521195" w:rsidP="00874E89">
            <w:pPr>
              <w:jc w:val="center"/>
              <w:rPr>
                <w:rFonts w:cs="Arial"/>
                <w:b/>
              </w:rPr>
            </w:pPr>
            <w:r>
              <w:rPr>
                <w:rFonts w:cs="Arial"/>
                <w:b/>
              </w:rPr>
              <w:t>M</w:t>
            </w:r>
          </w:p>
        </w:tc>
        <w:tc>
          <w:tcPr>
            <w:tcW w:w="924" w:type="dxa"/>
          </w:tcPr>
          <w:p w14:paraId="6E25EB2C" w14:textId="14550BAB" w:rsidR="00521195" w:rsidRPr="00023021" w:rsidRDefault="00504639" w:rsidP="00874E89">
            <w:pPr>
              <w:jc w:val="center"/>
              <w:rPr>
                <w:rFonts w:cs="Arial"/>
                <w:b/>
              </w:rPr>
            </w:pPr>
            <w:r w:rsidRPr="00023021">
              <w:rPr>
                <w:rFonts w:cs="Arial"/>
                <w:b/>
              </w:rPr>
              <w:t>↔</w:t>
            </w:r>
          </w:p>
        </w:tc>
      </w:tr>
      <w:tr w:rsidR="00E8246A" w:rsidRPr="00CA74C6" w14:paraId="0D45F923" w14:textId="77777777" w:rsidTr="00565CB4">
        <w:tc>
          <w:tcPr>
            <w:tcW w:w="645" w:type="dxa"/>
          </w:tcPr>
          <w:p w14:paraId="3008FC68" w14:textId="2524E99F" w:rsidR="00E8246A" w:rsidRDefault="00E8246A" w:rsidP="00874E89">
            <w:pPr>
              <w:rPr>
                <w:rFonts w:ascii="Arial" w:hAnsi="Arial" w:cs="Arial"/>
              </w:rPr>
            </w:pPr>
            <w:r>
              <w:rPr>
                <w:rFonts w:ascii="Arial" w:hAnsi="Arial" w:cs="Arial"/>
              </w:rPr>
              <w:t>1.</w:t>
            </w:r>
            <w:r w:rsidR="00616255">
              <w:rPr>
                <w:rFonts w:ascii="Arial" w:hAnsi="Arial" w:cs="Arial"/>
              </w:rPr>
              <w:t>6</w:t>
            </w:r>
          </w:p>
        </w:tc>
        <w:tc>
          <w:tcPr>
            <w:tcW w:w="4462" w:type="dxa"/>
          </w:tcPr>
          <w:p w14:paraId="63C7FEB1" w14:textId="3D3BAD35" w:rsidR="00E8246A" w:rsidRPr="0027602C" w:rsidRDefault="00E8246A" w:rsidP="0027602C">
            <w:pPr>
              <w:rPr>
                <w:rFonts w:eastAsia="Times New Roman" w:cstheme="minorHAnsi"/>
                <w:lang w:eastAsia="en-GB"/>
              </w:rPr>
            </w:pPr>
            <w:r w:rsidRPr="00CB79C2">
              <w:rPr>
                <w:rFonts w:eastAsia="Times New Roman" w:cstheme="minorHAnsi"/>
                <w:lang w:eastAsia="en-GB"/>
              </w:rPr>
              <w:t>Accountable body may not be able to fulfil its role in accordance with the Back Office Service Level Agreement</w:t>
            </w:r>
            <w:r w:rsidR="003F1B68">
              <w:rPr>
                <w:rFonts w:eastAsia="Times New Roman" w:cstheme="minorHAnsi"/>
                <w:lang w:eastAsia="en-GB"/>
              </w:rPr>
              <w:t>, in particular</w:t>
            </w:r>
            <w:r w:rsidR="00C948A9">
              <w:rPr>
                <w:rFonts w:eastAsia="Times New Roman" w:cstheme="minorHAnsi"/>
                <w:lang w:eastAsia="en-GB"/>
              </w:rPr>
              <w:t xml:space="preserve"> </w:t>
            </w:r>
            <w:r w:rsidR="003F1B68">
              <w:rPr>
                <w:rFonts w:eastAsia="Times New Roman" w:cstheme="minorHAnsi"/>
                <w:lang w:eastAsia="en-GB"/>
              </w:rPr>
              <w:t xml:space="preserve">risk </w:t>
            </w:r>
            <w:r w:rsidRPr="003F1B68">
              <w:rPr>
                <w:rFonts w:eastAsia="Times New Roman" w:cstheme="minorHAnsi"/>
                <w:lang w:eastAsia="en-GB"/>
              </w:rPr>
              <w:t>compl</w:t>
            </w:r>
            <w:r w:rsidR="003F1B68">
              <w:rPr>
                <w:rFonts w:eastAsia="Times New Roman" w:cstheme="minorHAnsi"/>
                <w:lang w:eastAsia="en-GB"/>
              </w:rPr>
              <w:t>iance</w:t>
            </w:r>
            <w:r w:rsidRPr="003F1B68">
              <w:rPr>
                <w:rFonts w:eastAsia="Times New Roman" w:cstheme="minorHAnsi"/>
                <w:lang w:eastAsia="en-GB"/>
              </w:rPr>
              <w:t xml:space="preserve"> with the Assurance and Accountability Framework</w:t>
            </w:r>
            <w:r w:rsidR="00016879">
              <w:rPr>
                <w:rFonts w:eastAsia="Times New Roman" w:cstheme="minorHAnsi"/>
                <w:lang w:eastAsia="en-GB"/>
              </w:rPr>
              <w:t xml:space="preserve"> or due to impact of Somerset local government reform</w:t>
            </w:r>
          </w:p>
        </w:tc>
        <w:tc>
          <w:tcPr>
            <w:tcW w:w="792" w:type="dxa"/>
          </w:tcPr>
          <w:p w14:paraId="0A82AF23" w14:textId="4346FF0C" w:rsidR="00E8246A" w:rsidRPr="007229BB" w:rsidRDefault="00C948A9" w:rsidP="00874E89">
            <w:pPr>
              <w:jc w:val="center"/>
              <w:rPr>
                <w:rFonts w:cs="Arial"/>
                <w:lang w:eastAsia="en-GB"/>
              </w:rPr>
            </w:pPr>
            <w:r>
              <w:rPr>
                <w:rFonts w:cs="Arial"/>
                <w:lang w:eastAsia="en-GB"/>
              </w:rPr>
              <w:t>L</w:t>
            </w:r>
          </w:p>
        </w:tc>
        <w:tc>
          <w:tcPr>
            <w:tcW w:w="861" w:type="dxa"/>
          </w:tcPr>
          <w:p w14:paraId="5285753B" w14:textId="11A4F480" w:rsidR="00E8246A" w:rsidRPr="007229BB" w:rsidRDefault="00E8246A" w:rsidP="00874E89">
            <w:pPr>
              <w:jc w:val="center"/>
              <w:rPr>
                <w:rFonts w:cs="Arial"/>
                <w:lang w:eastAsia="en-GB"/>
              </w:rPr>
            </w:pPr>
            <w:r w:rsidRPr="007229BB">
              <w:rPr>
                <w:rFonts w:cs="Arial"/>
                <w:lang w:eastAsia="en-GB"/>
              </w:rPr>
              <w:t>H</w:t>
            </w:r>
          </w:p>
        </w:tc>
        <w:tc>
          <w:tcPr>
            <w:tcW w:w="788" w:type="dxa"/>
            <w:shd w:val="clear" w:color="auto" w:fill="FFC000"/>
          </w:tcPr>
          <w:p w14:paraId="64EF3604" w14:textId="15B34827" w:rsidR="00E8246A" w:rsidRPr="007229BB" w:rsidRDefault="00C948A9" w:rsidP="00874E89">
            <w:pPr>
              <w:jc w:val="center"/>
              <w:rPr>
                <w:rFonts w:cs="Arial"/>
                <w:b/>
                <w:lang w:eastAsia="en-GB"/>
              </w:rPr>
            </w:pPr>
            <w:r>
              <w:rPr>
                <w:rFonts w:cs="Arial"/>
                <w:b/>
                <w:lang w:eastAsia="en-GB"/>
              </w:rPr>
              <w:t>M</w:t>
            </w:r>
          </w:p>
        </w:tc>
        <w:tc>
          <w:tcPr>
            <w:tcW w:w="4426" w:type="dxa"/>
          </w:tcPr>
          <w:p w14:paraId="3C67B603" w14:textId="1A8F7873" w:rsidR="00C948A9" w:rsidRDefault="00226001" w:rsidP="003F1B68">
            <w:pPr>
              <w:pStyle w:val="ListParagraph"/>
              <w:numPr>
                <w:ilvl w:val="0"/>
                <w:numId w:val="13"/>
              </w:numPr>
              <w:rPr>
                <w:rFonts w:eastAsia="Times New Roman" w:cstheme="minorHAnsi"/>
                <w:lang w:eastAsia="en-GB"/>
              </w:rPr>
            </w:pPr>
            <w:r w:rsidRPr="003F1B68">
              <w:rPr>
                <w:rFonts w:eastAsia="Times New Roman" w:cstheme="minorHAnsi"/>
                <w:lang w:eastAsia="en-GB"/>
              </w:rPr>
              <w:t xml:space="preserve">SCC S151 officer provided assurance </w:t>
            </w:r>
            <w:r w:rsidR="009F1BBE" w:rsidRPr="003F1B68">
              <w:rPr>
                <w:rFonts w:eastAsia="Times New Roman" w:cstheme="minorHAnsi"/>
                <w:lang w:eastAsia="en-GB"/>
              </w:rPr>
              <w:t>to Sept</w:t>
            </w:r>
            <w:r w:rsidRPr="003F1B68">
              <w:rPr>
                <w:rFonts w:eastAsia="Times New Roman" w:cstheme="minorHAnsi"/>
                <w:lang w:eastAsia="en-GB"/>
              </w:rPr>
              <w:t xml:space="preserve"> </w:t>
            </w:r>
            <w:r w:rsidR="00D467CA">
              <w:rPr>
                <w:rFonts w:eastAsia="Times New Roman" w:cstheme="minorHAnsi"/>
                <w:lang w:eastAsia="en-GB"/>
              </w:rPr>
              <w:t xml:space="preserve">18 </w:t>
            </w:r>
            <w:r w:rsidR="003536BD">
              <w:rPr>
                <w:rFonts w:eastAsia="Times New Roman" w:cstheme="minorHAnsi"/>
                <w:lang w:eastAsia="en-GB"/>
              </w:rPr>
              <w:t>OIC</w:t>
            </w:r>
            <w:r w:rsidRPr="003F1B68">
              <w:rPr>
                <w:rFonts w:eastAsia="Times New Roman" w:cstheme="minorHAnsi"/>
                <w:lang w:eastAsia="en-GB"/>
              </w:rPr>
              <w:t xml:space="preserve"> over ring-fencing of LEP monies held by SCC. </w:t>
            </w:r>
          </w:p>
          <w:p w14:paraId="31DC7557" w14:textId="00F9DF74" w:rsidR="00C948A9" w:rsidRDefault="00C948A9" w:rsidP="003F1B68">
            <w:pPr>
              <w:pStyle w:val="ListParagraph"/>
              <w:numPr>
                <w:ilvl w:val="0"/>
                <w:numId w:val="13"/>
              </w:numPr>
              <w:rPr>
                <w:rFonts w:eastAsia="Times New Roman" w:cstheme="minorHAnsi"/>
                <w:lang w:eastAsia="en-GB"/>
              </w:rPr>
            </w:pPr>
            <w:r>
              <w:rPr>
                <w:rFonts w:eastAsia="Times New Roman" w:cstheme="minorHAnsi"/>
                <w:lang w:eastAsia="en-GB"/>
              </w:rPr>
              <w:t xml:space="preserve">LEP processes reviewed in Annual Review, mid-year review and by SCC audit </w:t>
            </w:r>
            <w:proofErr w:type="gramStart"/>
            <w:r>
              <w:rPr>
                <w:rFonts w:eastAsia="Times New Roman" w:cstheme="minorHAnsi"/>
                <w:lang w:eastAsia="en-GB"/>
              </w:rPr>
              <w:t>committee</w:t>
            </w:r>
            <w:proofErr w:type="gramEnd"/>
          </w:p>
          <w:p w14:paraId="47F832A3" w14:textId="369C040B" w:rsidR="00226001" w:rsidRPr="000C56B0" w:rsidRDefault="003536BD" w:rsidP="000C56B0">
            <w:pPr>
              <w:pStyle w:val="ListParagraph"/>
              <w:numPr>
                <w:ilvl w:val="0"/>
                <w:numId w:val="13"/>
              </w:numPr>
              <w:rPr>
                <w:rFonts w:eastAsia="Times New Roman" w:cstheme="minorHAnsi"/>
                <w:lang w:eastAsia="en-GB"/>
              </w:rPr>
            </w:pPr>
            <w:r>
              <w:rPr>
                <w:rFonts w:eastAsia="Times New Roman" w:cstheme="minorHAnsi"/>
                <w:lang w:eastAsia="en-GB"/>
              </w:rPr>
              <w:t>OIC</w:t>
            </w:r>
            <w:r w:rsidR="00016879">
              <w:rPr>
                <w:rFonts w:eastAsia="Times New Roman" w:cstheme="minorHAnsi"/>
                <w:lang w:eastAsia="en-GB"/>
              </w:rPr>
              <w:t xml:space="preserve"> to be kept updated on implications of Somerset local govt reform</w:t>
            </w:r>
            <w:r w:rsidR="00557052">
              <w:rPr>
                <w:rFonts w:eastAsia="Times New Roman" w:cstheme="minorHAnsi"/>
                <w:lang w:eastAsia="en-GB"/>
              </w:rPr>
              <w:t>; no immediate impact anticipated from unitari</w:t>
            </w:r>
            <w:r w:rsidR="00E22BCD">
              <w:rPr>
                <w:rFonts w:eastAsia="Times New Roman" w:cstheme="minorHAnsi"/>
                <w:lang w:eastAsia="en-GB"/>
              </w:rPr>
              <w:t>s</w:t>
            </w:r>
            <w:r w:rsidR="00557052">
              <w:rPr>
                <w:rFonts w:eastAsia="Times New Roman" w:cstheme="minorHAnsi"/>
                <w:lang w:eastAsia="en-GB"/>
              </w:rPr>
              <w:t xml:space="preserve">ation </w:t>
            </w:r>
          </w:p>
        </w:tc>
        <w:tc>
          <w:tcPr>
            <w:tcW w:w="1784" w:type="dxa"/>
          </w:tcPr>
          <w:p w14:paraId="560559A9" w14:textId="6F8B4F9C" w:rsidR="00E8246A" w:rsidRPr="00874E89" w:rsidRDefault="003536BD" w:rsidP="00E8246A">
            <w:pPr>
              <w:rPr>
                <w:rFonts w:cs="Arial"/>
                <w:b/>
                <w:lang w:eastAsia="en-GB"/>
              </w:rPr>
            </w:pPr>
            <w:r>
              <w:rPr>
                <w:rFonts w:cs="Arial"/>
                <w:b/>
                <w:lang w:eastAsia="en-GB"/>
              </w:rPr>
              <w:t>OIC</w:t>
            </w:r>
          </w:p>
          <w:p w14:paraId="264D7BA4" w14:textId="77777777" w:rsidR="00E8246A" w:rsidRDefault="00E8246A" w:rsidP="00E8246A">
            <w:pPr>
              <w:rPr>
                <w:rFonts w:cs="Arial"/>
                <w:lang w:eastAsia="en-GB"/>
              </w:rPr>
            </w:pPr>
          </w:p>
          <w:p w14:paraId="058D14DA" w14:textId="15994DF4" w:rsidR="00E8246A" w:rsidRDefault="00E8246A" w:rsidP="00E8246A">
            <w:pPr>
              <w:rPr>
                <w:rFonts w:cs="Arial"/>
                <w:lang w:eastAsia="en-GB"/>
              </w:rPr>
            </w:pPr>
            <w:r w:rsidRPr="00023021">
              <w:rPr>
                <w:rFonts w:cs="Arial"/>
                <w:lang w:eastAsia="en-GB"/>
              </w:rPr>
              <w:t xml:space="preserve">Action: </w:t>
            </w:r>
            <w:r>
              <w:rPr>
                <w:rFonts w:cs="Arial"/>
                <w:lang w:eastAsia="en-GB"/>
              </w:rPr>
              <w:t>CEX</w:t>
            </w:r>
          </w:p>
          <w:p w14:paraId="17BB625F" w14:textId="77777777" w:rsidR="00E8246A" w:rsidRPr="00874E89" w:rsidRDefault="00E8246A" w:rsidP="00874E89">
            <w:pPr>
              <w:rPr>
                <w:rFonts w:cs="Arial"/>
                <w:b/>
                <w:lang w:eastAsia="en-GB"/>
              </w:rPr>
            </w:pPr>
          </w:p>
        </w:tc>
        <w:tc>
          <w:tcPr>
            <w:tcW w:w="706" w:type="dxa"/>
            <w:shd w:val="clear" w:color="auto" w:fill="00CC00"/>
          </w:tcPr>
          <w:p w14:paraId="0AB9911C" w14:textId="2F44237E" w:rsidR="00E8246A" w:rsidRDefault="005160F1" w:rsidP="00874E89">
            <w:pPr>
              <w:jc w:val="center"/>
              <w:rPr>
                <w:rFonts w:cs="Arial"/>
                <w:b/>
              </w:rPr>
            </w:pPr>
            <w:r>
              <w:rPr>
                <w:rFonts w:cs="Arial"/>
                <w:b/>
              </w:rPr>
              <w:t>L</w:t>
            </w:r>
          </w:p>
        </w:tc>
        <w:tc>
          <w:tcPr>
            <w:tcW w:w="924" w:type="dxa"/>
          </w:tcPr>
          <w:p w14:paraId="0C00944D" w14:textId="4609CBE1" w:rsidR="00E8246A" w:rsidRPr="005325F9" w:rsidRDefault="00387828" w:rsidP="00874E89">
            <w:pPr>
              <w:jc w:val="center"/>
            </w:pPr>
            <w:r w:rsidRPr="005325F9">
              <w:t>↔</w:t>
            </w:r>
          </w:p>
        </w:tc>
      </w:tr>
      <w:tr w:rsidR="008B5622" w:rsidRPr="00CA74C6" w14:paraId="282D1C5E" w14:textId="77777777" w:rsidTr="00565CB4">
        <w:tc>
          <w:tcPr>
            <w:tcW w:w="645" w:type="dxa"/>
          </w:tcPr>
          <w:p w14:paraId="09806414" w14:textId="0C528661" w:rsidR="008B5622" w:rsidRDefault="008B5622" w:rsidP="00874E89">
            <w:pPr>
              <w:rPr>
                <w:rFonts w:ascii="Arial" w:hAnsi="Arial" w:cs="Arial"/>
              </w:rPr>
            </w:pPr>
            <w:r>
              <w:rPr>
                <w:rFonts w:ascii="Arial" w:hAnsi="Arial" w:cs="Arial"/>
              </w:rPr>
              <w:t>1.7</w:t>
            </w:r>
          </w:p>
        </w:tc>
        <w:tc>
          <w:tcPr>
            <w:tcW w:w="4462" w:type="dxa"/>
          </w:tcPr>
          <w:p w14:paraId="1A15E3DB" w14:textId="7677BCAA" w:rsidR="008B5622" w:rsidRDefault="008B5622" w:rsidP="0027602C">
            <w:pPr>
              <w:rPr>
                <w:rFonts w:eastAsia="Times New Roman" w:cstheme="minorHAnsi"/>
                <w:lang w:eastAsia="en-GB"/>
              </w:rPr>
            </w:pPr>
            <w:r>
              <w:rPr>
                <w:rFonts w:eastAsia="Times New Roman" w:cstheme="minorHAnsi"/>
                <w:lang w:eastAsia="en-GB"/>
              </w:rPr>
              <w:t xml:space="preserve">Changes to the way </w:t>
            </w:r>
            <w:r w:rsidR="000A07F3">
              <w:rPr>
                <w:rFonts w:eastAsia="Times New Roman" w:cstheme="minorHAnsi"/>
                <w:lang w:eastAsia="en-GB"/>
              </w:rPr>
              <w:t xml:space="preserve">LEP functions are delivered may lead to some current functions </w:t>
            </w:r>
            <w:r w:rsidR="00055CCC">
              <w:rPr>
                <w:rFonts w:eastAsia="Times New Roman" w:cstheme="minorHAnsi"/>
                <w:lang w:eastAsia="en-GB"/>
              </w:rPr>
              <w:t>not continuing, risking longer term growth prospects</w:t>
            </w:r>
            <w:r w:rsidR="00337305">
              <w:rPr>
                <w:rFonts w:eastAsia="Times New Roman" w:cstheme="minorHAnsi"/>
                <w:lang w:eastAsia="en-GB"/>
              </w:rPr>
              <w:t>. Changes include:</w:t>
            </w:r>
          </w:p>
          <w:p w14:paraId="545376BA" w14:textId="63A21200" w:rsidR="00055CCC" w:rsidRDefault="00337305" w:rsidP="00002D2A">
            <w:pPr>
              <w:pStyle w:val="ListParagraph"/>
              <w:numPr>
                <w:ilvl w:val="1"/>
                <w:numId w:val="30"/>
              </w:numPr>
              <w:ind w:left="654" w:hanging="425"/>
              <w:rPr>
                <w:rFonts w:eastAsia="Times New Roman" w:cstheme="minorHAnsi"/>
                <w:lang w:eastAsia="en-GB"/>
              </w:rPr>
            </w:pPr>
            <w:r>
              <w:rPr>
                <w:rFonts w:eastAsia="Times New Roman" w:cstheme="minorHAnsi"/>
                <w:lang w:eastAsia="en-GB"/>
              </w:rPr>
              <w:t xml:space="preserve">Greater Devon devo deal: </w:t>
            </w:r>
            <w:r w:rsidR="00055CCC">
              <w:rPr>
                <w:rFonts w:eastAsia="Times New Roman" w:cstheme="minorHAnsi"/>
                <w:lang w:eastAsia="en-GB"/>
              </w:rPr>
              <w:t xml:space="preserve">Govt confirmed LEP functions </w:t>
            </w:r>
            <w:r w:rsidR="004B348A">
              <w:rPr>
                <w:rFonts w:eastAsia="Times New Roman" w:cstheme="minorHAnsi"/>
                <w:lang w:eastAsia="en-GB"/>
              </w:rPr>
              <w:t xml:space="preserve">are </w:t>
            </w:r>
            <w:r w:rsidR="00351F9B">
              <w:t>Growth Hub, trade and investment activity &amp; liaison with DIT</w:t>
            </w:r>
            <w:r w:rsidR="006D3534">
              <w:t xml:space="preserve">, </w:t>
            </w:r>
            <w:r w:rsidR="00351F9B">
              <w:t>Digital Skills Partnership, Careers Hub</w:t>
            </w:r>
            <w:r w:rsidR="006D3534">
              <w:t>, l</w:t>
            </w:r>
            <w:r w:rsidR="00351F9B">
              <w:t xml:space="preserve">ocal skills analysis via Skills Advisory Panel, </w:t>
            </w:r>
            <w:r w:rsidR="0001381E">
              <w:t>m</w:t>
            </w:r>
            <w:r w:rsidR="00351F9B">
              <w:t xml:space="preserve">onitoring </w:t>
            </w:r>
            <w:r w:rsidR="0001381E">
              <w:t>&amp;</w:t>
            </w:r>
            <w:r w:rsidR="00351F9B">
              <w:t xml:space="preserve"> assurance </w:t>
            </w:r>
            <w:r w:rsidR="0001381E">
              <w:t xml:space="preserve">of </w:t>
            </w:r>
            <w:r w:rsidR="00351F9B">
              <w:t xml:space="preserve">local growth funds for which LEPs are </w:t>
            </w:r>
            <w:proofErr w:type="gramStart"/>
            <w:r w:rsidR="00351F9B">
              <w:t>responsible</w:t>
            </w:r>
            <w:proofErr w:type="gramEnd"/>
          </w:p>
          <w:p w14:paraId="093A30D7" w14:textId="215AD6CC" w:rsidR="00972AE8" w:rsidRDefault="008910B3" w:rsidP="00002D2A">
            <w:pPr>
              <w:pStyle w:val="ListParagraph"/>
              <w:numPr>
                <w:ilvl w:val="1"/>
                <w:numId w:val="30"/>
              </w:numPr>
              <w:ind w:left="654" w:hanging="425"/>
              <w:rPr>
                <w:rFonts w:eastAsia="Times New Roman" w:cstheme="minorHAnsi"/>
                <w:lang w:eastAsia="en-GB"/>
              </w:rPr>
            </w:pPr>
            <w:r>
              <w:rPr>
                <w:rFonts w:eastAsia="Times New Roman" w:cstheme="minorHAnsi"/>
                <w:lang w:eastAsia="en-GB"/>
              </w:rPr>
              <w:t>r</w:t>
            </w:r>
            <w:r w:rsidR="00972AE8">
              <w:rPr>
                <w:rFonts w:eastAsia="Times New Roman" w:cstheme="minorHAnsi"/>
                <w:lang w:eastAsia="en-GB"/>
              </w:rPr>
              <w:t xml:space="preserve">equirement to retain full suite of LEP operation in Somerset post-Devon </w:t>
            </w:r>
            <w:proofErr w:type="gramStart"/>
            <w:r w:rsidR="00972AE8">
              <w:rPr>
                <w:rFonts w:eastAsia="Times New Roman" w:cstheme="minorHAnsi"/>
                <w:lang w:eastAsia="en-GB"/>
              </w:rPr>
              <w:t>devo</w:t>
            </w:r>
            <w:proofErr w:type="gramEnd"/>
          </w:p>
          <w:p w14:paraId="4336187B" w14:textId="7610FAA3" w:rsidR="00972AE8" w:rsidRDefault="008910B3" w:rsidP="00002D2A">
            <w:pPr>
              <w:pStyle w:val="ListParagraph"/>
              <w:numPr>
                <w:ilvl w:val="1"/>
                <w:numId w:val="30"/>
              </w:numPr>
              <w:ind w:left="654" w:hanging="425"/>
              <w:rPr>
                <w:rFonts w:eastAsia="Times New Roman" w:cstheme="minorHAnsi"/>
                <w:lang w:eastAsia="en-GB"/>
              </w:rPr>
            </w:pPr>
            <w:r>
              <w:rPr>
                <w:rFonts w:eastAsia="Times New Roman" w:cstheme="minorHAnsi"/>
                <w:lang w:eastAsia="en-GB"/>
              </w:rPr>
              <w:t>f</w:t>
            </w:r>
            <w:r w:rsidR="00814B79">
              <w:rPr>
                <w:rFonts w:eastAsia="Times New Roman" w:cstheme="minorHAnsi"/>
                <w:lang w:eastAsia="en-GB"/>
              </w:rPr>
              <w:t xml:space="preserve">it of LEP activity with Great SW is to be </w:t>
            </w:r>
            <w:proofErr w:type="gramStart"/>
            <w:r w:rsidR="00814B79">
              <w:rPr>
                <w:rFonts w:eastAsia="Times New Roman" w:cstheme="minorHAnsi"/>
                <w:lang w:eastAsia="en-GB"/>
              </w:rPr>
              <w:t>determined</w:t>
            </w:r>
            <w:proofErr w:type="gramEnd"/>
          </w:p>
          <w:p w14:paraId="1D8C1848" w14:textId="50EBDF72" w:rsidR="00B146FC" w:rsidRPr="00055CCC" w:rsidRDefault="00B146FC" w:rsidP="00002D2A">
            <w:pPr>
              <w:pStyle w:val="ListParagraph"/>
              <w:numPr>
                <w:ilvl w:val="1"/>
                <w:numId w:val="30"/>
              </w:numPr>
              <w:ind w:left="654" w:hanging="425"/>
              <w:rPr>
                <w:rFonts w:eastAsia="Times New Roman" w:cstheme="minorHAnsi"/>
                <w:lang w:eastAsia="en-GB"/>
              </w:rPr>
            </w:pPr>
            <w:r>
              <w:rPr>
                <w:rFonts w:eastAsia="Times New Roman" w:cstheme="minorHAnsi"/>
                <w:lang w:eastAsia="en-GB"/>
              </w:rPr>
              <w:t>emergence of local skills improvement plans</w:t>
            </w:r>
            <w:r w:rsidR="008910B3">
              <w:rPr>
                <w:rFonts w:eastAsia="Times New Roman" w:cstheme="minorHAnsi"/>
                <w:lang w:eastAsia="en-GB"/>
              </w:rPr>
              <w:t xml:space="preserve"> (</w:t>
            </w:r>
            <w:r w:rsidR="00585A46">
              <w:rPr>
                <w:rFonts w:eastAsia="Times New Roman" w:cstheme="minorHAnsi"/>
                <w:lang w:eastAsia="en-GB"/>
              </w:rPr>
              <w:t>LSIPs</w:t>
            </w:r>
            <w:r w:rsidR="008910B3">
              <w:rPr>
                <w:rFonts w:eastAsia="Times New Roman" w:cstheme="minorHAnsi"/>
                <w:lang w:eastAsia="en-GB"/>
              </w:rPr>
              <w:t>)</w:t>
            </w:r>
          </w:p>
        </w:tc>
        <w:tc>
          <w:tcPr>
            <w:tcW w:w="792" w:type="dxa"/>
          </w:tcPr>
          <w:p w14:paraId="228C316E" w14:textId="268EF744" w:rsidR="008B5622" w:rsidRDefault="00E72F9C" w:rsidP="00874E89">
            <w:pPr>
              <w:jc w:val="center"/>
              <w:rPr>
                <w:rFonts w:cs="Arial"/>
                <w:lang w:eastAsia="en-GB"/>
              </w:rPr>
            </w:pPr>
            <w:r>
              <w:rPr>
                <w:rFonts w:cs="Arial"/>
                <w:lang w:eastAsia="en-GB"/>
              </w:rPr>
              <w:t>M</w:t>
            </w:r>
          </w:p>
        </w:tc>
        <w:tc>
          <w:tcPr>
            <w:tcW w:w="861" w:type="dxa"/>
          </w:tcPr>
          <w:p w14:paraId="775104CA" w14:textId="6D22351E" w:rsidR="008B5622" w:rsidRPr="007229BB" w:rsidRDefault="00E72F9C" w:rsidP="00874E89">
            <w:pPr>
              <w:jc w:val="center"/>
              <w:rPr>
                <w:rFonts w:cs="Arial"/>
                <w:lang w:eastAsia="en-GB"/>
              </w:rPr>
            </w:pPr>
            <w:r>
              <w:rPr>
                <w:rFonts w:cs="Arial"/>
                <w:lang w:eastAsia="en-GB"/>
              </w:rPr>
              <w:t>M</w:t>
            </w:r>
          </w:p>
        </w:tc>
        <w:tc>
          <w:tcPr>
            <w:tcW w:w="788" w:type="dxa"/>
            <w:shd w:val="clear" w:color="auto" w:fill="FFC000"/>
          </w:tcPr>
          <w:p w14:paraId="7A31A7F0" w14:textId="74DD0D9C" w:rsidR="008B5622" w:rsidRDefault="00E72F9C" w:rsidP="00874E89">
            <w:pPr>
              <w:jc w:val="center"/>
              <w:rPr>
                <w:rFonts w:cs="Arial"/>
                <w:b/>
                <w:lang w:eastAsia="en-GB"/>
              </w:rPr>
            </w:pPr>
            <w:r>
              <w:rPr>
                <w:rFonts w:cs="Arial"/>
                <w:b/>
                <w:lang w:eastAsia="en-GB"/>
              </w:rPr>
              <w:t>M</w:t>
            </w:r>
          </w:p>
        </w:tc>
        <w:tc>
          <w:tcPr>
            <w:tcW w:w="4426" w:type="dxa"/>
          </w:tcPr>
          <w:p w14:paraId="615E7D5A" w14:textId="3A493B9B" w:rsidR="008B5622" w:rsidRDefault="00DD7AA6" w:rsidP="003F1B68">
            <w:pPr>
              <w:pStyle w:val="ListParagraph"/>
              <w:numPr>
                <w:ilvl w:val="0"/>
                <w:numId w:val="13"/>
              </w:numPr>
              <w:rPr>
                <w:rFonts w:eastAsia="Times New Roman" w:cstheme="minorHAnsi"/>
                <w:lang w:eastAsia="en-GB"/>
              </w:rPr>
            </w:pPr>
            <w:r>
              <w:rPr>
                <w:rFonts w:eastAsia="Times New Roman" w:cstheme="minorHAnsi"/>
                <w:lang w:eastAsia="en-GB"/>
              </w:rPr>
              <w:t>O</w:t>
            </w:r>
            <w:r w:rsidR="00814B79">
              <w:rPr>
                <w:rFonts w:eastAsia="Times New Roman" w:cstheme="minorHAnsi"/>
                <w:lang w:eastAsia="en-GB"/>
              </w:rPr>
              <w:t xml:space="preserve">perating model to be </w:t>
            </w:r>
            <w:r>
              <w:rPr>
                <w:rFonts w:eastAsia="Times New Roman" w:cstheme="minorHAnsi"/>
                <w:lang w:eastAsia="en-GB"/>
              </w:rPr>
              <w:t xml:space="preserve">kept under review </w:t>
            </w:r>
            <w:r w:rsidR="00814B79">
              <w:rPr>
                <w:rFonts w:eastAsia="Times New Roman" w:cstheme="minorHAnsi"/>
                <w:lang w:eastAsia="en-GB"/>
              </w:rPr>
              <w:t xml:space="preserve">to </w:t>
            </w:r>
            <w:r w:rsidR="00AA2A9B">
              <w:rPr>
                <w:rFonts w:eastAsia="Times New Roman" w:cstheme="minorHAnsi"/>
                <w:lang w:eastAsia="en-GB"/>
              </w:rPr>
              <w:t xml:space="preserve">reflect emerging devo deal, </w:t>
            </w:r>
            <w:r w:rsidR="00112920">
              <w:rPr>
                <w:rFonts w:eastAsia="Times New Roman" w:cstheme="minorHAnsi"/>
                <w:lang w:eastAsia="en-GB"/>
              </w:rPr>
              <w:t xml:space="preserve">Budget funding announcement, </w:t>
            </w:r>
            <w:r w:rsidR="00AA2A9B">
              <w:rPr>
                <w:rFonts w:eastAsia="Times New Roman" w:cstheme="minorHAnsi"/>
                <w:lang w:eastAsia="en-GB"/>
              </w:rPr>
              <w:t>Somerset requirements</w:t>
            </w:r>
            <w:r w:rsidR="008910B3">
              <w:rPr>
                <w:rFonts w:eastAsia="Times New Roman" w:cstheme="minorHAnsi"/>
                <w:lang w:eastAsia="en-GB"/>
              </w:rPr>
              <w:t xml:space="preserve">, </w:t>
            </w:r>
            <w:r w:rsidR="00AA2A9B">
              <w:rPr>
                <w:rFonts w:eastAsia="Times New Roman" w:cstheme="minorHAnsi"/>
                <w:lang w:eastAsia="en-GB"/>
              </w:rPr>
              <w:t>GSW operation</w:t>
            </w:r>
            <w:r w:rsidR="008910B3">
              <w:rPr>
                <w:rFonts w:eastAsia="Times New Roman" w:cstheme="minorHAnsi"/>
                <w:lang w:eastAsia="en-GB"/>
              </w:rPr>
              <w:t xml:space="preserve"> and L</w:t>
            </w:r>
            <w:r w:rsidR="003536BD">
              <w:rPr>
                <w:rFonts w:eastAsia="Times New Roman" w:cstheme="minorHAnsi"/>
                <w:lang w:eastAsia="en-GB"/>
              </w:rPr>
              <w:t>OIC</w:t>
            </w:r>
            <w:r w:rsidR="008910B3">
              <w:rPr>
                <w:rFonts w:eastAsia="Times New Roman" w:cstheme="minorHAnsi"/>
                <w:lang w:eastAsia="en-GB"/>
              </w:rPr>
              <w:t>s/ SAP relationship</w:t>
            </w:r>
            <w:r w:rsidR="00F63A36">
              <w:rPr>
                <w:rFonts w:eastAsia="Times New Roman" w:cstheme="minorHAnsi"/>
                <w:lang w:eastAsia="en-GB"/>
              </w:rPr>
              <w:t xml:space="preserve">. </w:t>
            </w:r>
            <w:r w:rsidR="00C13E4F">
              <w:rPr>
                <w:rFonts w:eastAsia="Times New Roman" w:cstheme="minorHAnsi"/>
                <w:lang w:eastAsia="en-GB"/>
              </w:rPr>
              <w:t xml:space="preserve">Noting policy &amp; timeframes likely to continue </w:t>
            </w:r>
            <w:r w:rsidR="00AB1D16">
              <w:rPr>
                <w:rFonts w:eastAsia="Times New Roman" w:cstheme="minorHAnsi"/>
                <w:lang w:eastAsia="en-GB"/>
              </w:rPr>
              <w:t xml:space="preserve">to </w:t>
            </w:r>
            <w:r w:rsidR="00C13E4F">
              <w:rPr>
                <w:rFonts w:eastAsia="Times New Roman" w:cstheme="minorHAnsi"/>
                <w:lang w:eastAsia="en-GB"/>
              </w:rPr>
              <w:t xml:space="preserve">evolve. </w:t>
            </w:r>
            <w:r w:rsidR="00F63A36">
              <w:rPr>
                <w:rFonts w:eastAsia="Times New Roman" w:cstheme="minorHAnsi"/>
                <w:lang w:eastAsia="en-GB"/>
              </w:rPr>
              <w:t>Sector development &amp; economic intelligence part of this</w:t>
            </w:r>
          </w:p>
          <w:p w14:paraId="7EFB3D52" w14:textId="246BDAD3" w:rsidR="005B0959" w:rsidRDefault="005B0959" w:rsidP="003F1B68">
            <w:pPr>
              <w:pStyle w:val="ListParagraph"/>
              <w:numPr>
                <w:ilvl w:val="0"/>
                <w:numId w:val="13"/>
              </w:numPr>
              <w:rPr>
                <w:rFonts w:eastAsia="Times New Roman" w:cstheme="minorHAnsi"/>
                <w:lang w:eastAsia="en-GB"/>
              </w:rPr>
            </w:pPr>
            <w:r>
              <w:rPr>
                <w:rFonts w:eastAsia="Times New Roman" w:cstheme="minorHAnsi"/>
                <w:lang w:eastAsia="en-GB"/>
              </w:rPr>
              <w:t xml:space="preserve">Transition planning in hand to detail how LEP operations will change: </w:t>
            </w:r>
            <w:r w:rsidR="004B348A">
              <w:rPr>
                <w:rFonts w:eastAsia="Times New Roman" w:cstheme="minorHAnsi"/>
                <w:lang w:eastAsia="en-GB"/>
              </w:rPr>
              <w:t xml:space="preserve">planning </w:t>
            </w:r>
            <w:r>
              <w:rPr>
                <w:rFonts w:eastAsia="Times New Roman" w:cstheme="minorHAnsi"/>
                <w:lang w:eastAsia="en-GB"/>
              </w:rPr>
              <w:t>to cover th</w:t>
            </w:r>
            <w:r w:rsidR="004B348A">
              <w:rPr>
                <w:rFonts w:eastAsia="Times New Roman" w:cstheme="minorHAnsi"/>
                <w:lang w:eastAsia="en-GB"/>
              </w:rPr>
              <w:t xml:space="preserve">is </w:t>
            </w:r>
            <w:proofErr w:type="gramStart"/>
            <w:r w:rsidR="004B348A">
              <w:rPr>
                <w:rFonts w:eastAsia="Times New Roman" w:cstheme="minorHAnsi"/>
                <w:lang w:eastAsia="en-GB"/>
              </w:rPr>
              <w:t>risk</w:t>
            </w:r>
            <w:proofErr w:type="gramEnd"/>
          </w:p>
          <w:p w14:paraId="5E048FA8" w14:textId="7E4E43A3" w:rsidR="00C7708D" w:rsidRPr="003F1B68" w:rsidRDefault="00C7708D" w:rsidP="003F1B68">
            <w:pPr>
              <w:pStyle w:val="ListParagraph"/>
              <w:numPr>
                <w:ilvl w:val="0"/>
                <w:numId w:val="13"/>
              </w:numPr>
              <w:rPr>
                <w:rFonts w:eastAsia="Times New Roman" w:cstheme="minorHAnsi"/>
                <w:lang w:eastAsia="en-GB"/>
              </w:rPr>
            </w:pPr>
            <w:r>
              <w:rPr>
                <w:rFonts w:eastAsia="Times New Roman" w:cstheme="minorHAnsi"/>
                <w:lang w:eastAsia="en-GB"/>
              </w:rPr>
              <w:t xml:space="preserve">Devo </w:t>
            </w:r>
            <w:r w:rsidR="00D443CA">
              <w:rPr>
                <w:rFonts w:eastAsia="Times New Roman" w:cstheme="minorHAnsi"/>
                <w:lang w:eastAsia="en-GB"/>
              </w:rPr>
              <w:t xml:space="preserve">also </w:t>
            </w:r>
            <w:r>
              <w:rPr>
                <w:rFonts w:eastAsia="Times New Roman" w:cstheme="minorHAnsi"/>
                <w:lang w:eastAsia="en-GB"/>
              </w:rPr>
              <w:t xml:space="preserve">opens up potential opportunities not covered by the LEP, </w:t>
            </w:r>
            <w:proofErr w:type="gramStart"/>
            <w:r>
              <w:rPr>
                <w:rFonts w:eastAsia="Times New Roman" w:cstheme="minorHAnsi"/>
                <w:lang w:eastAsia="en-GB"/>
              </w:rPr>
              <w:t>e.g.</w:t>
            </w:r>
            <w:proofErr w:type="gramEnd"/>
            <w:r>
              <w:rPr>
                <w:rFonts w:eastAsia="Times New Roman" w:cstheme="minorHAnsi"/>
                <w:lang w:eastAsia="en-GB"/>
              </w:rPr>
              <w:t xml:space="preserve"> adult skills budget</w:t>
            </w:r>
          </w:p>
        </w:tc>
        <w:tc>
          <w:tcPr>
            <w:tcW w:w="1784" w:type="dxa"/>
          </w:tcPr>
          <w:p w14:paraId="032FDD98" w14:textId="78546749" w:rsidR="00C316BA" w:rsidRPr="00874E89" w:rsidRDefault="003536BD" w:rsidP="00C316BA">
            <w:pPr>
              <w:rPr>
                <w:rFonts w:cs="Arial"/>
                <w:b/>
                <w:lang w:eastAsia="en-GB"/>
              </w:rPr>
            </w:pPr>
            <w:r>
              <w:rPr>
                <w:rFonts w:cs="Arial"/>
                <w:b/>
                <w:lang w:eastAsia="en-GB"/>
              </w:rPr>
              <w:t>OIC</w:t>
            </w:r>
          </w:p>
          <w:p w14:paraId="5E54C711" w14:textId="77777777" w:rsidR="00C316BA" w:rsidRDefault="00C316BA" w:rsidP="00C316BA">
            <w:pPr>
              <w:rPr>
                <w:rFonts w:cs="Arial"/>
                <w:lang w:eastAsia="en-GB"/>
              </w:rPr>
            </w:pPr>
          </w:p>
          <w:p w14:paraId="7565AF84" w14:textId="77777777" w:rsidR="00C316BA" w:rsidRDefault="00C316BA" w:rsidP="00C316BA">
            <w:pPr>
              <w:rPr>
                <w:rFonts w:cs="Arial"/>
                <w:lang w:eastAsia="en-GB"/>
              </w:rPr>
            </w:pPr>
            <w:r w:rsidRPr="00023021">
              <w:rPr>
                <w:rFonts w:cs="Arial"/>
                <w:lang w:eastAsia="en-GB"/>
              </w:rPr>
              <w:t xml:space="preserve">Action: </w:t>
            </w:r>
            <w:r>
              <w:rPr>
                <w:rFonts w:cs="Arial"/>
                <w:lang w:eastAsia="en-GB"/>
              </w:rPr>
              <w:t>CEX</w:t>
            </w:r>
          </w:p>
          <w:p w14:paraId="70080867" w14:textId="77777777" w:rsidR="008B5622" w:rsidRPr="00874E89" w:rsidRDefault="008B5622" w:rsidP="00E8246A">
            <w:pPr>
              <w:rPr>
                <w:rFonts w:cs="Arial"/>
                <w:b/>
                <w:lang w:eastAsia="en-GB"/>
              </w:rPr>
            </w:pPr>
          </w:p>
        </w:tc>
        <w:tc>
          <w:tcPr>
            <w:tcW w:w="706" w:type="dxa"/>
            <w:shd w:val="clear" w:color="auto" w:fill="00CC00"/>
          </w:tcPr>
          <w:p w14:paraId="7F375897" w14:textId="545CB3A9" w:rsidR="008B5622" w:rsidRDefault="00E72F9C" w:rsidP="00874E89">
            <w:pPr>
              <w:jc w:val="center"/>
              <w:rPr>
                <w:rFonts w:cs="Arial"/>
                <w:b/>
              </w:rPr>
            </w:pPr>
            <w:r>
              <w:rPr>
                <w:rFonts w:cs="Arial"/>
                <w:b/>
              </w:rPr>
              <w:t>L</w:t>
            </w:r>
          </w:p>
        </w:tc>
        <w:tc>
          <w:tcPr>
            <w:tcW w:w="924" w:type="dxa"/>
          </w:tcPr>
          <w:p w14:paraId="094E9EC2" w14:textId="79C2553E" w:rsidR="008B5622" w:rsidRPr="00023021" w:rsidRDefault="00C85B03" w:rsidP="00874E89">
            <w:pPr>
              <w:jc w:val="center"/>
              <w:rPr>
                <w:rFonts w:cs="Arial"/>
                <w:b/>
              </w:rPr>
            </w:pPr>
            <w:r w:rsidRPr="00023021">
              <w:rPr>
                <w:rFonts w:cs="Arial"/>
                <w:b/>
              </w:rPr>
              <w:t>↔</w:t>
            </w:r>
          </w:p>
        </w:tc>
      </w:tr>
      <w:tr w:rsidR="00C51874" w:rsidRPr="00CA74C6" w14:paraId="22EFA907" w14:textId="77777777" w:rsidTr="003C2665">
        <w:tc>
          <w:tcPr>
            <w:tcW w:w="645" w:type="dxa"/>
            <w:shd w:val="clear" w:color="auto" w:fill="E2EFD9" w:themeFill="accent6" w:themeFillTint="33"/>
          </w:tcPr>
          <w:p w14:paraId="395766E5" w14:textId="77777777" w:rsidR="00C51874" w:rsidRPr="00CA74C6" w:rsidRDefault="00C51874" w:rsidP="00C51874">
            <w:pPr>
              <w:rPr>
                <w:rFonts w:ascii="Arial" w:hAnsi="Arial" w:cs="Arial"/>
                <w:b/>
              </w:rPr>
            </w:pPr>
            <w:r w:rsidRPr="00CA74C6">
              <w:rPr>
                <w:rFonts w:ascii="Arial" w:hAnsi="Arial" w:cs="Arial"/>
                <w:b/>
              </w:rPr>
              <w:t>2</w:t>
            </w:r>
          </w:p>
        </w:tc>
        <w:tc>
          <w:tcPr>
            <w:tcW w:w="14743" w:type="dxa"/>
            <w:gridSpan w:val="8"/>
            <w:shd w:val="clear" w:color="auto" w:fill="E2EFD9" w:themeFill="accent6" w:themeFillTint="33"/>
          </w:tcPr>
          <w:p w14:paraId="6913429E" w14:textId="0C330EF2" w:rsidR="00C51874" w:rsidRPr="00CA74C6" w:rsidRDefault="00C51874" w:rsidP="00C51874">
            <w:pPr>
              <w:rPr>
                <w:rFonts w:ascii="Arial" w:hAnsi="Arial" w:cs="Arial"/>
                <w:b/>
              </w:rPr>
            </w:pPr>
            <w:r w:rsidRPr="00CA74C6">
              <w:rPr>
                <w:rFonts w:ascii="Arial" w:hAnsi="Arial" w:cs="Arial"/>
                <w:b/>
              </w:rPr>
              <w:t>FINANCIAL</w:t>
            </w:r>
            <w:r w:rsidR="000060AC">
              <w:rPr>
                <w:rFonts w:ascii="Arial" w:hAnsi="Arial" w:cs="Arial"/>
                <w:b/>
              </w:rPr>
              <w:t xml:space="preserve"> &amp; OPERATIONS</w:t>
            </w:r>
          </w:p>
        </w:tc>
      </w:tr>
      <w:tr w:rsidR="00295961" w:rsidRPr="00CA74C6" w14:paraId="288F9F82" w14:textId="77777777" w:rsidTr="003E297F">
        <w:tc>
          <w:tcPr>
            <w:tcW w:w="645" w:type="dxa"/>
          </w:tcPr>
          <w:p w14:paraId="5F342E29" w14:textId="77777777" w:rsidR="00C51874" w:rsidRPr="00CA74C6" w:rsidRDefault="00C51874" w:rsidP="00C51874">
            <w:pPr>
              <w:rPr>
                <w:rFonts w:ascii="Arial" w:hAnsi="Arial" w:cs="Arial"/>
              </w:rPr>
            </w:pPr>
            <w:r>
              <w:rPr>
                <w:rFonts w:ascii="Arial" w:hAnsi="Arial" w:cs="Arial"/>
              </w:rPr>
              <w:t>2.1</w:t>
            </w:r>
          </w:p>
        </w:tc>
        <w:tc>
          <w:tcPr>
            <w:tcW w:w="4462" w:type="dxa"/>
          </w:tcPr>
          <w:p w14:paraId="1FD1B7C8" w14:textId="2C2F04F8" w:rsidR="005B24EE" w:rsidRDefault="005B24EE" w:rsidP="005B24EE">
            <w:pPr>
              <w:rPr>
                <w:rFonts w:cs="Arial"/>
                <w:lang w:eastAsia="en-GB"/>
              </w:rPr>
            </w:pPr>
            <w:r>
              <w:rPr>
                <w:rFonts w:cs="Arial"/>
                <w:lang w:eastAsia="en-GB"/>
              </w:rPr>
              <w:t>Availability of medium-term funding (18 months +) limits the LEP’s ability to operate and,</w:t>
            </w:r>
          </w:p>
          <w:p w14:paraId="4B844507" w14:textId="77777777" w:rsidR="005B24EE" w:rsidRDefault="005B24EE" w:rsidP="005B24EE">
            <w:pPr>
              <w:pStyle w:val="ListParagraph"/>
              <w:numPr>
                <w:ilvl w:val="0"/>
                <w:numId w:val="11"/>
              </w:numPr>
              <w:rPr>
                <w:rFonts w:cs="Arial"/>
                <w:lang w:eastAsia="en-GB"/>
              </w:rPr>
            </w:pPr>
            <w:r w:rsidRPr="00882019">
              <w:rPr>
                <w:rFonts w:cs="Arial"/>
                <w:lang w:eastAsia="en-GB"/>
              </w:rPr>
              <w:t xml:space="preserve">jeopardises implementation of actions to support </w:t>
            </w:r>
            <w:proofErr w:type="gramStart"/>
            <w:r w:rsidRPr="00882019">
              <w:rPr>
                <w:rFonts w:cs="Arial"/>
                <w:lang w:eastAsia="en-GB"/>
              </w:rPr>
              <w:t>growth</w:t>
            </w:r>
            <w:proofErr w:type="gramEnd"/>
          </w:p>
          <w:p w14:paraId="6FDBB2B5" w14:textId="21BF6AE9" w:rsidR="00132AF4" w:rsidRPr="00295961" w:rsidRDefault="005B24EE" w:rsidP="00295961">
            <w:pPr>
              <w:pStyle w:val="ListParagraph"/>
              <w:numPr>
                <w:ilvl w:val="0"/>
                <w:numId w:val="11"/>
              </w:numPr>
              <w:rPr>
                <w:rFonts w:cs="Arial"/>
                <w:lang w:eastAsia="en-GB"/>
              </w:rPr>
            </w:pPr>
            <w:r w:rsidRPr="00882019">
              <w:rPr>
                <w:rFonts w:cs="Arial"/>
                <w:lang w:eastAsia="en-GB"/>
              </w:rPr>
              <w:lastRenderedPageBreak/>
              <w:t>could lead to insufficient capacity and capability within the partnership to bring forward projects which support implementation of the Productivity Strategy &amp; BBB</w:t>
            </w:r>
            <w:r w:rsidRPr="00882019" w:rsidDel="008F5B24">
              <w:rPr>
                <w:rFonts w:cs="Arial"/>
                <w:lang w:eastAsia="en-GB"/>
              </w:rPr>
              <w:t xml:space="preserve"> </w:t>
            </w:r>
          </w:p>
        </w:tc>
        <w:tc>
          <w:tcPr>
            <w:tcW w:w="792" w:type="dxa"/>
          </w:tcPr>
          <w:p w14:paraId="5A63C576" w14:textId="77777777" w:rsidR="00C51874" w:rsidRPr="00023021" w:rsidRDefault="00C51874" w:rsidP="00C51874">
            <w:pPr>
              <w:jc w:val="center"/>
              <w:rPr>
                <w:rFonts w:cs="Arial"/>
                <w:lang w:eastAsia="en-GB"/>
              </w:rPr>
            </w:pPr>
            <w:r w:rsidRPr="00023021">
              <w:rPr>
                <w:rFonts w:cs="Arial"/>
                <w:lang w:eastAsia="en-GB"/>
              </w:rPr>
              <w:lastRenderedPageBreak/>
              <w:t>M</w:t>
            </w:r>
          </w:p>
        </w:tc>
        <w:tc>
          <w:tcPr>
            <w:tcW w:w="861" w:type="dxa"/>
          </w:tcPr>
          <w:p w14:paraId="409B1583" w14:textId="33D795D1" w:rsidR="00C51874" w:rsidRPr="00023021" w:rsidRDefault="0095700C" w:rsidP="00C51874">
            <w:pPr>
              <w:jc w:val="center"/>
              <w:rPr>
                <w:rFonts w:cs="Arial"/>
                <w:lang w:eastAsia="en-GB"/>
              </w:rPr>
            </w:pPr>
            <w:r>
              <w:rPr>
                <w:rFonts w:cs="Arial"/>
                <w:lang w:eastAsia="en-GB"/>
              </w:rPr>
              <w:t>H</w:t>
            </w:r>
          </w:p>
        </w:tc>
        <w:tc>
          <w:tcPr>
            <w:tcW w:w="788" w:type="dxa"/>
            <w:shd w:val="clear" w:color="auto" w:fill="FF0000"/>
          </w:tcPr>
          <w:p w14:paraId="18950DAC" w14:textId="2851E34E" w:rsidR="00C51874" w:rsidRPr="00023021" w:rsidRDefault="00C51874" w:rsidP="00C51874">
            <w:pPr>
              <w:jc w:val="center"/>
              <w:rPr>
                <w:rFonts w:cs="Arial"/>
                <w:b/>
                <w:lang w:eastAsia="en-GB"/>
              </w:rPr>
            </w:pPr>
            <w:r w:rsidRPr="00023021">
              <w:rPr>
                <w:rFonts w:cs="Arial"/>
                <w:b/>
                <w:lang w:eastAsia="en-GB"/>
              </w:rPr>
              <w:t>M</w:t>
            </w:r>
            <w:r w:rsidR="0095700C">
              <w:rPr>
                <w:rFonts w:cs="Arial"/>
                <w:b/>
                <w:lang w:eastAsia="en-GB"/>
              </w:rPr>
              <w:t>/H</w:t>
            </w:r>
          </w:p>
        </w:tc>
        <w:tc>
          <w:tcPr>
            <w:tcW w:w="4426" w:type="dxa"/>
          </w:tcPr>
          <w:p w14:paraId="1959BAD2" w14:textId="6B48E9A3" w:rsidR="004C273C" w:rsidRDefault="004C273C" w:rsidP="004C273C">
            <w:pPr>
              <w:pStyle w:val="ListParagraph"/>
              <w:numPr>
                <w:ilvl w:val="0"/>
                <w:numId w:val="8"/>
              </w:numPr>
              <w:rPr>
                <w:rFonts w:cs="Arial"/>
                <w:lang w:eastAsia="en-GB"/>
              </w:rPr>
            </w:pPr>
            <w:r>
              <w:rPr>
                <w:rFonts w:cs="Arial"/>
                <w:lang w:eastAsia="en-GB"/>
              </w:rPr>
              <w:t xml:space="preserve">LEP will reserves provide longer term </w:t>
            </w:r>
            <w:proofErr w:type="gramStart"/>
            <w:r>
              <w:rPr>
                <w:rFonts w:cs="Arial"/>
                <w:lang w:eastAsia="en-GB"/>
              </w:rPr>
              <w:t>certainty</w:t>
            </w:r>
            <w:proofErr w:type="gramEnd"/>
          </w:p>
          <w:p w14:paraId="719DCB85" w14:textId="68645243" w:rsidR="002155E5" w:rsidRPr="00295961" w:rsidRDefault="004C273C" w:rsidP="00295961">
            <w:pPr>
              <w:pStyle w:val="ListParagraph"/>
              <w:numPr>
                <w:ilvl w:val="0"/>
                <w:numId w:val="8"/>
              </w:numPr>
              <w:rPr>
                <w:rFonts w:cs="Arial"/>
                <w:lang w:eastAsia="en-GB"/>
              </w:rPr>
            </w:pPr>
            <w:r>
              <w:rPr>
                <w:rFonts w:cs="Arial"/>
                <w:lang w:eastAsia="en-GB"/>
              </w:rPr>
              <w:t xml:space="preserve">Transition planning to ensure breadth of LEP operations is covered in new local growth </w:t>
            </w:r>
            <w:proofErr w:type="gramStart"/>
            <w:r>
              <w:rPr>
                <w:rFonts w:cs="Arial"/>
                <w:lang w:eastAsia="en-GB"/>
              </w:rPr>
              <w:t>arrangements</w:t>
            </w:r>
            <w:proofErr w:type="gramEnd"/>
          </w:p>
          <w:p w14:paraId="293A331D" w14:textId="3F42D215" w:rsidR="00C51874" w:rsidRPr="009B1FC7" w:rsidRDefault="00C51874" w:rsidP="004C273C">
            <w:pPr>
              <w:pStyle w:val="ListParagraph"/>
              <w:numPr>
                <w:ilvl w:val="0"/>
                <w:numId w:val="8"/>
              </w:numPr>
              <w:rPr>
                <w:rFonts w:cs="Arial"/>
                <w:lang w:eastAsia="en-GB"/>
              </w:rPr>
            </w:pPr>
            <w:r w:rsidRPr="009B1FC7">
              <w:rPr>
                <w:rFonts w:cs="Arial"/>
                <w:lang w:eastAsia="en-GB"/>
              </w:rPr>
              <w:lastRenderedPageBreak/>
              <w:t>Delivery of LEP objectives is supported by the local authorities through financial contributions and Service Level Agreements. Other partners, such as HE/FE or the private sector, may make occasional ad hoc contributions to delivery activity.</w:t>
            </w:r>
            <w:r w:rsidR="00BE6DDE">
              <w:rPr>
                <w:rFonts w:cs="Arial"/>
                <w:lang w:eastAsia="en-GB"/>
              </w:rPr>
              <w:t xml:space="preserve"> SLAs have 3-month notice period for changes to reduce </w:t>
            </w:r>
            <w:proofErr w:type="gramStart"/>
            <w:r w:rsidR="00BE6DDE">
              <w:rPr>
                <w:rFonts w:cs="Arial"/>
                <w:lang w:eastAsia="en-GB"/>
              </w:rPr>
              <w:t>uncertainty</w:t>
            </w:r>
            <w:proofErr w:type="gramEnd"/>
          </w:p>
          <w:p w14:paraId="17B62AAC" w14:textId="6D85212B" w:rsidR="009B1FC7" w:rsidRDefault="009B1FC7" w:rsidP="004C273C">
            <w:pPr>
              <w:pStyle w:val="ListParagraph"/>
              <w:numPr>
                <w:ilvl w:val="0"/>
                <w:numId w:val="8"/>
              </w:numPr>
              <w:rPr>
                <w:rFonts w:cs="Arial"/>
                <w:lang w:eastAsia="en-GB"/>
              </w:rPr>
            </w:pPr>
            <w:r>
              <w:rPr>
                <w:rFonts w:cs="Arial"/>
                <w:lang w:eastAsia="en-GB"/>
              </w:rPr>
              <w:t>Continued messaging to Government around need for revenue support for project development</w:t>
            </w:r>
          </w:p>
          <w:p w14:paraId="38C798C8" w14:textId="21DD5200" w:rsidR="00C51874" w:rsidRPr="004C273C" w:rsidRDefault="00C51874" w:rsidP="00295961">
            <w:pPr>
              <w:pStyle w:val="ListParagraph"/>
              <w:ind w:left="360"/>
              <w:rPr>
                <w:rFonts w:cs="Arial"/>
                <w:lang w:eastAsia="en-GB"/>
              </w:rPr>
            </w:pPr>
          </w:p>
        </w:tc>
        <w:tc>
          <w:tcPr>
            <w:tcW w:w="1784" w:type="dxa"/>
          </w:tcPr>
          <w:p w14:paraId="5C3D01CD" w14:textId="5FC4401C" w:rsidR="00C51874" w:rsidRPr="00023021" w:rsidRDefault="003536BD" w:rsidP="00C51874">
            <w:pPr>
              <w:rPr>
                <w:rFonts w:cs="Arial"/>
                <w:b/>
                <w:lang w:eastAsia="en-GB"/>
              </w:rPr>
            </w:pPr>
            <w:r>
              <w:rPr>
                <w:rFonts w:cs="Arial"/>
                <w:b/>
                <w:lang w:eastAsia="en-GB"/>
              </w:rPr>
              <w:lastRenderedPageBreak/>
              <w:t>OIC</w:t>
            </w:r>
          </w:p>
          <w:p w14:paraId="2B7B0AD0" w14:textId="77777777" w:rsidR="00C51874" w:rsidRPr="00023021" w:rsidRDefault="00C51874" w:rsidP="00C51874">
            <w:pPr>
              <w:rPr>
                <w:rFonts w:cs="Arial"/>
                <w:lang w:eastAsia="en-GB"/>
              </w:rPr>
            </w:pPr>
          </w:p>
          <w:p w14:paraId="2A5A9246" w14:textId="429F8515" w:rsidR="00C51874" w:rsidRPr="00023021" w:rsidRDefault="00C51874" w:rsidP="00C51874">
            <w:pPr>
              <w:rPr>
                <w:rFonts w:cs="Arial"/>
                <w:lang w:eastAsia="en-GB"/>
              </w:rPr>
            </w:pPr>
            <w:r w:rsidRPr="00023021">
              <w:rPr>
                <w:rFonts w:cs="Arial"/>
                <w:lang w:eastAsia="en-GB"/>
              </w:rPr>
              <w:t xml:space="preserve">Action: </w:t>
            </w:r>
            <w:r w:rsidR="0073369B">
              <w:rPr>
                <w:rFonts w:cs="Arial"/>
                <w:lang w:eastAsia="en-GB"/>
              </w:rPr>
              <w:t>CEX/ COO</w:t>
            </w:r>
          </w:p>
        </w:tc>
        <w:tc>
          <w:tcPr>
            <w:tcW w:w="706" w:type="dxa"/>
            <w:shd w:val="clear" w:color="auto" w:fill="FF0000"/>
          </w:tcPr>
          <w:p w14:paraId="6FAA508F" w14:textId="281D7193" w:rsidR="00C51874" w:rsidRPr="00023021" w:rsidRDefault="004C273C" w:rsidP="00C51874">
            <w:pPr>
              <w:jc w:val="center"/>
              <w:rPr>
                <w:rFonts w:cs="Arial"/>
                <w:b/>
              </w:rPr>
            </w:pPr>
            <w:r>
              <w:rPr>
                <w:rFonts w:cs="Arial"/>
                <w:b/>
              </w:rPr>
              <w:t>M</w:t>
            </w:r>
            <w:r w:rsidR="00C864DA">
              <w:rPr>
                <w:rFonts w:cs="Arial"/>
                <w:b/>
              </w:rPr>
              <w:t>/</w:t>
            </w:r>
            <w:r w:rsidR="003E297F">
              <w:rPr>
                <w:rFonts w:cs="Arial"/>
                <w:b/>
              </w:rPr>
              <w:t>H</w:t>
            </w:r>
          </w:p>
        </w:tc>
        <w:tc>
          <w:tcPr>
            <w:tcW w:w="924" w:type="dxa"/>
          </w:tcPr>
          <w:p w14:paraId="73E16293" w14:textId="4E58E4EB" w:rsidR="00C51874" w:rsidRPr="00023021" w:rsidRDefault="00B46C01" w:rsidP="00C51874">
            <w:pPr>
              <w:jc w:val="center"/>
              <w:rPr>
                <w:rFonts w:cs="Arial"/>
              </w:rPr>
            </w:pPr>
            <w:r w:rsidRPr="00023021">
              <w:rPr>
                <w:rFonts w:cs="Arial"/>
                <w:b/>
              </w:rPr>
              <w:t>↔</w:t>
            </w:r>
          </w:p>
        </w:tc>
      </w:tr>
      <w:tr w:rsidR="005B2971" w:rsidRPr="00CA74C6" w14:paraId="7B0AA7A4" w14:textId="77777777" w:rsidTr="00C85B03">
        <w:tc>
          <w:tcPr>
            <w:tcW w:w="645" w:type="dxa"/>
          </w:tcPr>
          <w:p w14:paraId="48CDB3E4" w14:textId="292A8863" w:rsidR="005B2971" w:rsidRDefault="005B2971" w:rsidP="005B2971">
            <w:pPr>
              <w:rPr>
                <w:rFonts w:ascii="Arial" w:hAnsi="Arial" w:cs="Arial"/>
              </w:rPr>
            </w:pPr>
            <w:r>
              <w:rPr>
                <w:rFonts w:ascii="Arial" w:hAnsi="Arial" w:cs="Arial"/>
              </w:rPr>
              <w:t>2.</w:t>
            </w:r>
            <w:r w:rsidR="006665B3">
              <w:rPr>
                <w:rFonts w:ascii="Arial" w:hAnsi="Arial" w:cs="Arial"/>
              </w:rPr>
              <w:t>2</w:t>
            </w:r>
          </w:p>
        </w:tc>
        <w:tc>
          <w:tcPr>
            <w:tcW w:w="4462" w:type="dxa"/>
          </w:tcPr>
          <w:p w14:paraId="473A9776" w14:textId="77777777" w:rsidR="00002D2A" w:rsidRDefault="00841FFC" w:rsidP="005B2971">
            <w:pPr>
              <w:rPr>
                <w:rFonts w:cs="Arial"/>
                <w:lang w:eastAsia="en-GB"/>
              </w:rPr>
            </w:pPr>
            <w:r>
              <w:rPr>
                <w:rFonts w:cs="Arial"/>
                <w:lang w:eastAsia="en-GB"/>
              </w:rPr>
              <w:t>LEP is unable to fund operations over the short term (12-18 months)</w:t>
            </w:r>
          </w:p>
          <w:p w14:paraId="6D9E152A" w14:textId="69B20C73" w:rsidR="004C0E6D" w:rsidRDefault="004C0E6D" w:rsidP="00633077">
            <w:pPr>
              <w:pStyle w:val="ListParagraph"/>
              <w:numPr>
                <w:ilvl w:val="0"/>
                <w:numId w:val="11"/>
              </w:numPr>
              <w:ind w:left="512" w:hanging="283"/>
              <w:rPr>
                <w:rFonts w:cs="Arial"/>
                <w:lang w:eastAsia="en-GB"/>
              </w:rPr>
            </w:pPr>
            <w:r>
              <w:rPr>
                <w:rFonts w:cs="Arial"/>
                <w:lang w:eastAsia="en-GB"/>
              </w:rPr>
              <w:t xml:space="preserve">Govt confirmed core funding for </w:t>
            </w:r>
            <w:r w:rsidR="00DB47A2">
              <w:rPr>
                <w:rFonts w:cs="Arial"/>
                <w:lang w:eastAsia="en-GB"/>
              </w:rPr>
              <w:t>23/24</w:t>
            </w:r>
          </w:p>
          <w:p w14:paraId="1AB1F881" w14:textId="41112F8F" w:rsidR="00633077" w:rsidRPr="00002D2A" w:rsidRDefault="004C273C" w:rsidP="00633077">
            <w:pPr>
              <w:pStyle w:val="ListParagraph"/>
              <w:numPr>
                <w:ilvl w:val="0"/>
                <w:numId w:val="11"/>
              </w:numPr>
              <w:ind w:left="512" w:hanging="283"/>
              <w:rPr>
                <w:rFonts w:cs="Arial"/>
                <w:lang w:eastAsia="en-GB"/>
              </w:rPr>
            </w:pPr>
            <w:r>
              <w:rPr>
                <w:rFonts w:cs="Arial"/>
                <w:lang w:eastAsia="en-GB"/>
              </w:rPr>
              <w:t>a</w:t>
            </w:r>
            <w:r w:rsidR="00633077">
              <w:rPr>
                <w:rFonts w:cs="Arial"/>
                <w:lang w:eastAsia="en-GB"/>
              </w:rPr>
              <w:t xml:space="preserve">vailability of core funding and other income streams restricts LEP’s ability to meet going concern criteria and affects </w:t>
            </w:r>
            <w:proofErr w:type="gramStart"/>
            <w:r w:rsidR="00633077">
              <w:rPr>
                <w:rFonts w:cs="Arial"/>
                <w:lang w:eastAsia="en-GB"/>
              </w:rPr>
              <w:t>viability</w:t>
            </w:r>
            <w:proofErr w:type="gramEnd"/>
          </w:p>
          <w:p w14:paraId="167B0FDE" w14:textId="19AA4CFA" w:rsidR="00DA1EB5" w:rsidRPr="00295961" w:rsidRDefault="00DA1EB5" w:rsidP="009776CA">
            <w:pPr>
              <w:pStyle w:val="ListParagraph"/>
              <w:ind w:left="512"/>
              <w:rPr>
                <w:rFonts w:cs="Arial"/>
                <w:lang w:eastAsia="en-GB"/>
              </w:rPr>
            </w:pPr>
          </w:p>
        </w:tc>
        <w:tc>
          <w:tcPr>
            <w:tcW w:w="792" w:type="dxa"/>
          </w:tcPr>
          <w:p w14:paraId="0A1C698E" w14:textId="7D5BBCB2" w:rsidR="005B2971" w:rsidRPr="00023021" w:rsidRDefault="00654AD3" w:rsidP="005B2971">
            <w:pPr>
              <w:jc w:val="center"/>
              <w:rPr>
                <w:rFonts w:cs="Arial"/>
                <w:lang w:eastAsia="en-GB"/>
              </w:rPr>
            </w:pPr>
            <w:r>
              <w:rPr>
                <w:rFonts w:cs="Arial"/>
                <w:lang w:eastAsia="en-GB"/>
              </w:rPr>
              <w:t>L</w:t>
            </w:r>
          </w:p>
        </w:tc>
        <w:tc>
          <w:tcPr>
            <w:tcW w:w="861" w:type="dxa"/>
          </w:tcPr>
          <w:p w14:paraId="7F0A1F02" w14:textId="48483F15" w:rsidR="005B2971" w:rsidRPr="00023021" w:rsidRDefault="00654AD3" w:rsidP="005B2971">
            <w:pPr>
              <w:jc w:val="center"/>
              <w:rPr>
                <w:rFonts w:cs="Arial"/>
                <w:lang w:eastAsia="en-GB"/>
              </w:rPr>
            </w:pPr>
            <w:r>
              <w:rPr>
                <w:rFonts w:cs="Arial"/>
                <w:lang w:eastAsia="en-GB"/>
              </w:rPr>
              <w:t>H</w:t>
            </w:r>
          </w:p>
        </w:tc>
        <w:tc>
          <w:tcPr>
            <w:tcW w:w="788" w:type="dxa"/>
            <w:shd w:val="clear" w:color="auto" w:fill="FFCC00"/>
          </w:tcPr>
          <w:p w14:paraId="4254994C" w14:textId="42DB84E1" w:rsidR="005B2971" w:rsidRPr="00023021" w:rsidRDefault="00F52B68" w:rsidP="005B2971">
            <w:pPr>
              <w:jc w:val="center"/>
              <w:rPr>
                <w:rFonts w:cs="Arial"/>
                <w:b/>
                <w:lang w:eastAsia="en-GB"/>
              </w:rPr>
            </w:pPr>
            <w:r>
              <w:rPr>
                <w:rFonts w:cs="Arial"/>
                <w:b/>
                <w:lang w:eastAsia="en-GB"/>
              </w:rPr>
              <w:t>L/</w:t>
            </w:r>
            <w:r w:rsidR="005B2971">
              <w:rPr>
                <w:rFonts w:cs="Arial"/>
                <w:b/>
                <w:lang w:eastAsia="en-GB"/>
              </w:rPr>
              <w:t>M</w:t>
            </w:r>
          </w:p>
        </w:tc>
        <w:tc>
          <w:tcPr>
            <w:tcW w:w="4426" w:type="dxa"/>
          </w:tcPr>
          <w:p w14:paraId="430A5A7A" w14:textId="2AAC370C" w:rsidR="0047761B" w:rsidRDefault="0047761B" w:rsidP="000D5BD2">
            <w:pPr>
              <w:pStyle w:val="ListParagraph"/>
              <w:numPr>
                <w:ilvl w:val="0"/>
                <w:numId w:val="9"/>
              </w:numPr>
              <w:rPr>
                <w:rFonts w:cs="Arial"/>
                <w:lang w:eastAsia="en-GB"/>
              </w:rPr>
            </w:pPr>
            <w:r>
              <w:rPr>
                <w:rFonts w:cs="Arial"/>
                <w:lang w:eastAsia="en-GB"/>
              </w:rPr>
              <w:t>LEP has built up reserves to ensure it can meet going concern criteria</w:t>
            </w:r>
            <w:r w:rsidR="00C85B03">
              <w:rPr>
                <w:rFonts w:cs="Arial"/>
                <w:lang w:eastAsia="en-GB"/>
              </w:rPr>
              <w:t xml:space="preserve"> &amp; Govt has confirmed 23/24 core funding</w:t>
            </w:r>
          </w:p>
          <w:p w14:paraId="1AE3FE4B" w14:textId="2F9C28EC" w:rsidR="00633077" w:rsidRDefault="003E0E99" w:rsidP="00633077">
            <w:pPr>
              <w:pStyle w:val="ListParagraph"/>
              <w:numPr>
                <w:ilvl w:val="0"/>
                <w:numId w:val="9"/>
              </w:numPr>
              <w:rPr>
                <w:rFonts w:cs="Arial"/>
                <w:lang w:eastAsia="en-GB"/>
              </w:rPr>
            </w:pPr>
            <w:r>
              <w:rPr>
                <w:rFonts w:cs="Arial"/>
                <w:lang w:eastAsia="en-GB"/>
              </w:rPr>
              <w:t>O</w:t>
            </w:r>
            <w:r w:rsidR="00633077">
              <w:rPr>
                <w:rFonts w:cs="Arial"/>
                <w:lang w:eastAsia="en-GB"/>
              </w:rPr>
              <w:t xml:space="preserve">perating model to be </w:t>
            </w:r>
            <w:r>
              <w:rPr>
                <w:rFonts w:cs="Arial"/>
                <w:lang w:eastAsia="en-GB"/>
              </w:rPr>
              <w:t>kept under review</w:t>
            </w:r>
            <w:r w:rsidR="00633077">
              <w:rPr>
                <w:rFonts w:cs="Arial"/>
                <w:lang w:eastAsia="en-GB"/>
              </w:rPr>
              <w:t xml:space="preserve"> depending on progress in devo discussions. Model to consider needs of transition, responsibilities as a CIC/ going concern etc</w:t>
            </w:r>
            <w:r w:rsidR="005568A1">
              <w:rPr>
                <w:rFonts w:cs="Arial"/>
                <w:lang w:eastAsia="en-GB"/>
              </w:rPr>
              <w:t>.</w:t>
            </w:r>
          </w:p>
          <w:p w14:paraId="276FDACC" w14:textId="1EEF8ABF" w:rsidR="00D26FE8" w:rsidRDefault="005B2971" w:rsidP="00B003DC">
            <w:pPr>
              <w:pStyle w:val="ListParagraph"/>
              <w:numPr>
                <w:ilvl w:val="0"/>
                <w:numId w:val="9"/>
              </w:numPr>
              <w:rPr>
                <w:rFonts w:cs="Arial"/>
                <w:lang w:eastAsia="en-GB"/>
              </w:rPr>
            </w:pPr>
            <w:r w:rsidRPr="00B133F5">
              <w:rPr>
                <w:rFonts w:cs="Arial"/>
                <w:lang w:eastAsia="en-GB"/>
              </w:rPr>
              <w:t xml:space="preserve">LEP’s revenue requirement monitored through </w:t>
            </w:r>
            <w:r w:rsidR="003536BD">
              <w:rPr>
                <w:rFonts w:cs="Arial"/>
                <w:lang w:eastAsia="en-GB"/>
              </w:rPr>
              <w:t>OIC</w:t>
            </w:r>
            <w:r w:rsidR="00B133F5" w:rsidRPr="00B133F5">
              <w:rPr>
                <w:rFonts w:cs="Arial"/>
                <w:lang w:eastAsia="en-GB"/>
              </w:rPr>
              <w:t xml:space="preserve"> and e</w:t>
            </w:r>
            <w:r w:rsidRPr="00B133F5">
              <w:rPr>
                <w:rFonts w:cs="Arial"/>
                <w:lang w:eastAsia="en-GB"/>
              </w:rPr>
              <w:t>xchange costs provisioned in finance plan</w:t>
            </w:r>
            <w:r w:rsidR="00B45B67">
              <w:rPr>
                <w:rFonts w:cs="Arial"/>
                <w:lang w:eastAsia="en-GB"/>
              </w:rPr>
              <w:t>; revenue exchanges</w:t>
            </w:r>
            <w:r w:rsidR="00341604">
              <w:rPr>
                <w:rFonts w:cs="Arial"/>
                <w:lang w:eastAsia="en-GB"/>
              </w:rPr>
              <w:t xml:space="preserve"> largely</w:t>
            </w:r>
            <w:r w:rsidR="00B45B67">
              <w:rPr>
                <w:rFonts w:cs="Arial"/>
                <w:lang w:eastAsia="en-GB"/>
              </w:rPr>
              <w:t xml:space="preserve"> complete from existing capital programme</w:t>
            </w:r>
            <w:r w:rsidR="00AB0997">
              <w:rPr>
                <w:rFonts w:cs="Arial"/>
                <w:lang w:eastAsia="en-GB"/>
              </w:rPr>
              <w:t xml:space="preserve"> (note</w:t>
            </w:r>
            <w:r w:rsidR="00341604">
              <w:rPr>
                <w:rFonts w:cs="Arial"/>
                <w:lang w:eastAsia="en-GB"/>
              </w:rPr>
              <w:t xml:space="preserve"> some LGF underspend may be released from closing projects – Board priorities</w:t>
            </w:r>
            <w:r w:rsidR="00D06620">
              <w:rPr>
                <w:rFonts w:cs="Arial"/>
                <w:lang w:eastAsia="en-GB"/>
              </w:rPr>
              <w:t xml:space="preserve"> for this</w:t>
            </w:r>
            <w:r w:rsidR="00341604">
              <w:rPr>
                <w:rFonts w:cs="Arial"/>
                <w:lang w:eastAsia="en-GB"/>
              </w:rPr>
              <w:t xml:space="preserve"> agreed Nov</w:t>
            </w:r>
            <w:proofErr w:type="gramStart"/>
            <w:r w:rsidR="00341604">
              <w:rPr>
                <w:rFonts w:cs="Arial"/>
                <w:lang w:eastAsia="en-GB"/>
              </w:rPr>
              <w:t>19</w:t>
            </w:r>
            <w:r w:rsidR="00D06620">
              <w:rPr>
                <w:rFonts w:cs="Arial"/>
                <w:lang w:eastAsia="en-GB"/>
              </w:rPr>
              <w:t xml:space="preserve"> </w:t>
            </w:r>
            <w:r w:rsidR="00242CE2">
              <w:rPr>
                <w:rFonts w:cs="Arial"/>
                <w:lang w:eastAsia="en-GB"/>
              </w:rPr>
              <w:t>)</w:t>
            </w:r>
            <w:proofErr w:type="gramEnd"/>
          </w:p>
          <w:p w14:paraId="4289BEF8" w14:textId="46469144" w:rsidR="001D5FF6" w:rsidRPr="00B003DC" w:rsidRDefault="001D5FF6" w:rsidP="009C5306">
            <w:pPr>
              <w:pStyle w:val="ListParagraph"/>
              <w:numPr>
                <w:ilvl w:val="0"/>
                <w:numId w:val="9"/>
              </w:numPr>
              <w:rPr>
                <w:rFonts w:cs="Arial"/>
                <w:lang w:eastAsia="en-GB"/>
              </w:rPr>
            </w:pPr>
          </w:p>
        </w:tc>
        <w:tc>
          <w:tcPr>
            <w:tcW w:w="1784" w:type="dxa"/>
          </w:tcPr>
          <w:p w14:paraId="306A6EB5" w14:textId="465C4377" w:rsidR="005B2971" w:rsidRPr="00874E89" w:rsidRDefault="003536BD" w:rsidP="005B2971">
            <w:pPr>
              <w:rPr>
                <w:rFonts w:cs="Arial"/>
                <w:b/>
                <w:lang w:eastAsia="en-GB"/>
              </w:rPr>
            </w:pPr>
            <w:r>
              <w:rPr>
                <w:rFonts w:cs="Arial"/>
                <w:b/>
                <w:lang w:eastAsia="en-GB"/>
              </w:rPr>
              <w:t>OIC</w:t>
            </w:r>
          </w:p>
          <w:p w14:paraId="7E25D4B1" w14:textId="3253ED85" w:rsidR="005B2971" w:rsidRDefault="005B2971" w:rsidP="005B2971">
            <w:pPr>
              <w:rPr>
                <w:rFonts w:cs="Arial"/>
                <w:lang w:eastAsia="en-GB"/>
              </w:rPr>
            </w:pPr>
          </w:p>
          <w:p w14:paraId="0C5D7A52" w14:textId="32BFEA1B" w:rsidR="005B2971" w:rsidRDefault="005B2971" w:rsidP="005B2971">
            <w:pPr>
              <w:rPr>
                <w:rFonts w:cs="Arial"/>
                <w:lang w:eastAsia="en-GB"/>
              </w:rPr>
            </w:pPr>
            <w:r w:rsidRPr="00023021">
              <w:rPr>
                <w:rFonts w:cs="Arial"/>
                <w:lang w:eastAsia="en-GB"/>
              </w:rPr>
              <w:t xml:space="preserve">Action: </w:t>
            </w:r>
            <w:r>
              <w:rPr>
                <w:rFonts w:cs="Arial"/>
                <w:lang w:eastAsia="en-GB"/>
              </w:rPr>
              <w:t>COO</w:t>
            </w:r>
          </w:p>
          <w:p w14:paraId="396FF913" w14:textId="77777777" w:rsidR="005B2971" w:rsidRPr="00023021" w:rsidRDefault="005B2971" w:rsidP="005B2971">
            <w:pPr>
              <w:rPr>
                <w:rFonts w:cs="Arial"/>
                <w:b/>
                <w:lang w:eastAsia="en-GB"/>
              </w:rPr>
            </w:pPr>
          </w:p>
        </w:tc>
        <w:tc>
          <w:tcPr>
            <w:tcW w:w="706" w:type="dxa"/>
            <w:shd w:val="clear" w:color="auto" w:fill="00CC00"/>
          </w:tcPr>
          <w:p w14:paraId="17B32499" w14:textId="3A7D3D25" w:rsidR="005B2971" w:rsidRDefault="00F52B68" w:rsidP="005B2971">
            <w:pPr>
              <w:jc w:val="center"/>
              <w:rPr>
                <w:rFonts w:cs="Arial"/>
                <w:b/>
              </w:rPr>
            </w:pPr>
            <w:r>
              <w:rPr>
                <w:rFonts w:cs="Arial"/>
                <w:b/>
              </w:rPr>
              <w:t>L</w:t>
            </w:r>
          </w:p>
        </w:tc>
        <w:tc>
          <w:tcPr>
            <w:tcW w:w="924" w:type="dxa"/>
          </w:tcPr>
          <w:p w14:paraId="4E8FBB20" w14:textId="1E0D9611" w:rsidR="005B2971" w:rsidRPr="00023021" w:rsidRDefault="005325F9" w:rsidP="005B2971">
            <w:pPr>
              <w:jc w:val="center"/>
              <w:rPr>
                <w:rFonts w:cs="Arial"/>
                <w:b/>
              </w:rPr>
            </w:pPr>
            <w:r>
              <w:rPr>
                <w:rFonts w:cstheme="minorHAnsi"/>
                <w:b/>
              </w:rPr>
              <w:t>↓</w:t>
            </w:r>
          </w:p>
        </w:tc>
      </w:tr>
      <w:tr w:rsidR="00F57F94" w:rsidRPr="00CA74C6" w14:paraId="1CD3E101" w14:textId="77777777" w:rsidTr="00F57F94">
        <w:tc>
          <w:tcPr>
            <w:tcW w:w="645" w:type="dxa"/>
          </w:tcPr>
          <w:p w14:paraId="3EABBE40" w14:textId="71D44C2A" w:rsidR="00F57F94" w:rsidRDefault="00F57F94" w:rsidP="00F57F94">
            <w:pPr>
              <w:rPr>
                <w:rFonts w:ascii="Arial" w:hAnsi="Arial" w:cs="Arial"/>
              </w:rPr>
            </w:pPr>
            <w:r>
              <w:rPr>
                <w:rFonts w:ascii="Arial" w:hAnsi="Arial" w:cs="Arial"/>
              </w:rPr>
              <w:t>2.3</w:t>
            </w:r>
          </w:p>
        </w:tc>
        <w:tc>
          <w:tcPr>
            <w:tcW w:w="4462" w:type="dxa"/>
          </w:tcPr>
          <w:p w14:paraId="3864798E" w14:textId="77777777" w:rsidR="00F57F94" w:rsidRDefault="00F57F94" w:rsidP="00F57F94">
            <w:pPr>
              <w:rPr>
                <w:rFonts w:cs="Arial"/>
                <w:lang w:eastAsia="en-GB"/>
              </w:rPr>
            </w:pPr>
            <w:r>
              <w:rPr>
                <w:rFonts w:cs="Arial"/>
                <w:lang w:eastAsia="en-GB"/>
              </w:rPr>
              <w:t xml:space="preserve">GPF interest due is not paid, reducing income stream and affecting LEP’s ability to meet going concern criteria and fund </w:t>
            </w:r>
            <w:proofErr w:type="gramStart"/>
            <w:r>
              <w:rPr>
                <w:rFonts w:cs="Arial"/>
                <w:lang w:eastAsia="en-GB"/>
              </w:rPr>
              <w:t>operations</w:t>
            </w:r>
            <w:proofErr w:type="gramEnd"/>
          </w:p>
          <w:p w14:paraId="5DAE8134" w14:textId="299AF2E1" w:rsidR="00F57F94" w:rsidRDefault="00F57F94" w:rsidP="00F57F94">
            <w:pPr>
              <w:rPr>
                <w:rFonts w:cs="Arial"/>
                <w:lang w:eastAsia="en-GB"/>
              </w:rPr>
            </w:pPr>
          </w:p>
        </w:tc>
        <w:tc>
          <w:tcPr>
            <w:tcW w:w="792" w:type="dxa"/>
          </w:tcPr>
          <w:p w14:paraId="0A9F8D92" w14:textId="6CB8BF4D" w:rsidR="00F57F94" w:rsidRDefault="00F57F94" w:rsidP="00F57F94">
            <w:pPr>
              <w:jc w:val="center"/>
              <w:rPr>
                <w:rFonts w:cs="Arial"/>
                <w:lang w:eastAsia="en-GB"/>
              </w:rPr>
            </w:pPr>
            <w:r>
              <w:rPr>
                <w:rFonts w:cs="Arial"/>
                <w:lang w:eastAsia="en-GB"/>
              </w:rPr>
              <w:t>M</w:t>
            </w:r>
          </w:p>
        </w:tc>
        <w:tc>
          <w:tcPr>
            <w:tcW w:w="861" w:type="dxa"/>
          </w:tcPr>
          <w:p w14:paraId="2606E02D" w14:textId="068FD8B9" w:rsidR="00F57F94" w:rsidRDefault="00F57F94" w:rsidP="00F57F94">
            <w:pPr>
              <w:jc w:val="center"/>
              <w:rPr>
                <w:rFonts w:cs="Arial"/>
                <w:lang w:eastAsia="en-GB"/>
              </w:rPr>
            </w:pPr>
            <w:r>
              <w:rPr>
                <w:rFonts w:cs="Arial"/>
                <w:lang w:eastAsia="en-GB"/>
              </w:rPr>
              <w:t>H</w:t>
            </w:r>
          </w:p>
        </w:tc>
        <w:tc>
          <w:tcPr>
            <w:tcW w:w="788" w:type="dxa"/>
            <w:shd w:val="clear" w:color="auto" w:fill="FF0000"/>
          </w:tcPr>
          <w:p w14:paraId="70D2D26C" w14:textId="5779EC79" w:rsidR="00F57F94" w:rsidRDefault="00F57F94" w:rsidP="00F57F94">
            <w:pPr>
              <w:jc w:val="center"/>
              <w:rPr>
                <w:rFonts w:cs="Arial"/>
                <w:b/>
                <w:lang w:eastAsia="en-GB"/>
              </w:rPr>
            </w:pPr>
            <w:r>
              <w:rPr>
                <w:rFonts w:cs="Arial"/>
                <w:b/>
                <w:lang w:eastAsia="en-GB"/>
              </w:rPr>
              <w:t>M/H</w:t>
            </w:r>
          </w:p>
        </w:tc>
        <w:tc>
          <w:tcPr>
            <w:tcW w:w="4426" w:type="dxa"/>
          </w:tcPr>
          <w:p w14:paraId="47962350" w14:textId="77777777" w:rsidR="00F57F94" w:rsidRDefault="00B861F8" w:rsidP="00D05863">
            <w:pPr>
              <w:pStyle w:val="ListParagraph"/>
              <w:numPr>
                <w:ilvl w:val="0"/>
                <w:numId w:val="9"/>
              </w:numPr>
              <w:rPr>
                <w:rFonts w:cs="Arial"/>
                <w:lang w:eastAsia="en-GB"/>
              </w:rPr>
            </w:pPr>
            <w:r>
              <w:rPr>
                <w:rFonts w:cs="Arial"/>
                <w:lang w:eastAsia="en-GB"/>
              </w:rPr>
              <w:t xml:space="preserve">Cashflow forecast in monthly finances monitors impact of potential changes in interest payments on overall LEP </w:t>
            </w:r>
            <w:proofErr w:type="gramStart"/>
            <w:r>
              <w:rPr>
                <w:rFonts w:cs="Arial"/>
                <w:lang w:eastAsia="en-GB"/>
              </w:rPr>
              <w:t>finances</w:t>
            </w:r>
            <w:proofErr w:type="gramEnd"/>
          </w:p>
          <w:p w14:paraId="0CB3CB6C" w14:textId="77777777" w:rsidR="00D05863" w:rsidRDefault="00D05863" w:rsidP="00D05863">
            <w:pPr>
              <w:pStyle w:val="ListParagraph"/>
              <w:numPr>
                <w:ilvl w:val="0"/>
                <w:numId w:val="9"/>
              </w:numPr>
              <w:rPr>
                <w:rFonts w:cs="Arial"/>
                <w:lang w:eastAsia="en-GB"/>
              </w:rPr>
            </w:pPr>
            <w:r>
              <w:rPr>
                <w:rFonts w:cs="Arial"/>
                <w:lang w:eastAsia="en-GB"/>
              </w:rPr>
              <w:t xml:space="preserve">LEP will continue to build reserves to provide longer term </w:t>
            </w:r>
            <w:proofErr w:type="gramStart"/>
            <w:r>
              <w:rPr>
                <w:rFonts w:cs="Arial"/>
                <w:lang w:eastAsia="en-GB"/>
              </w:rPr>
              <w:t>certainty</w:t>
            </w:r>
            <w:proofErr w:type="gramEnd"/>
          </w:p>
          <w:p w14:paraId="4BB87DE2" w14:textId="77777777" w:rsidR="00B861F8" w:rsidRDefault="00306DE5" w:rsidP="00D05863">
            <w:pPr>
              <w:pStyle w:val="ListParagraph"/>
              <w:numPr>
                <w:ilvl w:val="0"/>
                <w:numId w:val="9"/>
              </w:numPr>
              <w:rPr>
                <w:rFonts w:cs="Arial"/>
                <w:lang w:eastAsia="en-GB"/>
              </w:rPr>
            </w:pPr>
            <w:r>
              <w:rPr>
                <w:rFonts w:cs="Arial"/>
                <w:lang w:eastAsia="en-GB"/>
              </w:rPr>
              <w:lastRenderedPageBreak/>
              <w:t>Monthly monitoring of GPF projects’ payments</w:t>
            </w:r>
          </w:p>
          <w:p w14:paraId="3A920D6E" w14:textId="77777777" w:rsidR="00B139E3" w:rsidRPr="00D26FE8" w:rsidRDefault="00B139E3" w:rsidP="00B139E3">
            <w:pPr>
              <w:pStyle w:val="ListParagraph"/>
              <w:numPr>
                <w:ilvl w:val="0"/>
                <w:numId w:val="9"/>
              </w:numPr>
              <w:rPr>
                <w:rFonts w:cs="Arial"/>
                <w:lang w:eastAsia="en-GB"/>
              </w:rPr>
            </w:pPr>
            <w:r>
              <w:rPr>
                <w:rFonts w:cs="Arial"/>
                <w:lang w:eastAsia="en-GB"/>
              </w:rPr>
              <w:t xml:space="preserve">3 out of 4 GPF projects either with or guaranteed by local authorities. DC Homes paying as </w:t>
            </w:r>
            <w:proofErr w:type="gramStart"/>
            <w:r>
              <w:rPr>
                <w:rFonts w:cs="Arial"/>
                <w:lang w:eastAsia="en-GB"/>
              </w:rPr>
              <w:t>required</w:t>
            </w:r>
            <w:proofErr w:type="gramEnd"/>
          </w:p>
          <w:p w14:paraId="3DF45686" w14:textId="77777777" w:rsidR="00306DE5" w:rsidRDefault="00D22CA9" w:rsidP="00D05863">
            <w:pPr>
              <w:pStyle w:val="ListParagraph"/>
              <w:numPr>
                <w:ilvl w:val="0"/>
                <w:numId w:val="9"/>
              </w:numPr>
              <w:rPr>
                <w:rFonts w:cs="Arial"/>
                <w:lang w:eastAsia="en-GB"/>
              </w:rPr>
            </w:pPr>
            <w:r>
              <w:rPr>
                <w:rFonts w:cs="Arial"/>
                <w:lang w:eastAsia="en-GB"/>
              </w:rPr>
              <w:t xml:space="preserve">Specific intervention with projects as </w:t>
            </w:r>
            <w:proofErr w:type="gramStart"/>
            <w:r>
              <w:rPr>
                <w:rFonts w:cs="Arial"/>
                <w:lang w:eastAsia="en-GB"/>
              </w:rPr>
              <w:t>required</w:t>
            </w:r>
            <w:proofErr w:type="gramEnd"/>
          </w:p>
          <w:p w14:paraId="62DF5C4A" w14:textId="3B33669D" w:rsidR="00D22CA9" w:rsidRPr="00D22CA9" w:rsidRDefault="00D22CA9" w:rsidP="00D22CA9">
            <w:pPr>
              <w:rPr>
                <w:rFonts w:cs="Arial"/>
                <w:lang w:eastAsia="en-GB"/>
              </w:rPr>
            </w:pPr>
          </w:p>
        </w:tc>
        <w:tc>
          <w:tcPr>
            <w:tcW w:w="1784" w:type="dxa"/>
          </w:tcPr>
          <w:p w14:paraId="3EF7C02F" w14:textId="03C2DA94" w:rsidR="00B861F8" w:rsidRDefault="003536BD" w:rsidP="00B861F8">
            <w:pPr>
              <w:rPr>
                <w:rFonts w:cs="Arial"/>
                <w:b/>
                <w:lang w:eastAsia="en-GB"/>
              </w:rPr>
            </w:pPr>
            <w:r>
              <w:rPr>
                <w:rFonts w:cs="Arial"/>
                <w:b/>
                <w:lang w:eastAsia="en-GB"/>
              </w:rPr>
              <w:lastRenderedPageBreak/>
              <w:t>OIC</w:t>
            </w:r>
          </w:p>
          <w:p w14:paraId="4194A297" w14:textId="77777777" w:rsidR="00B861F8" w:rsidRDefault="00B861F8" w:rsidP="00B861F8">
            <w:pPr>
              <w:rPr>
                <w:rFonts w:cs="Arial"/>
                <w:b/>
                <w:lang w:eastAsia="en-GB"/>
              </w:rPr>
            </w:pPr>
          </w:p>
          <w:p w14:paraId="2DE461D2" w14:textId="7E2E5AAF" w:rsidR="00F57F94" w:rsidRDefault="00B861F8" w:rsidP="00B861F8">
            <w:pPr>
              <w:rPr>
                <w:rFonts w:cs="Arial"/>
                <w:b/>
                <w:lang w:eastAsia="en-GB"/>
              </w:rPr>
            </w:pPr>
            <w:r>
              <w:rPr>
                <w:rFonts w:cs="Arial"/>
                <w:b/>
                <w:lang w:eastAsia="en-GB"/>
              </w:rPr>
              <w:t>Action: CEX/ COO</w:t>
            </w:r>
          </w:p>
        </w:tc>
        <w:tc>
          <w:tcPr>
            <w:tcW w:w="706" w:type="dxa"/>
            <w:shd w:val="clear" w:color="auto" w:fill="FFCC00"/>
          </w:tcPr>
          <w:p w14:paraId="2D896E16" w14:textId="221DE9E2" w:rsidR="00F57F94" w:rsidRDefault="00F57F94" w:rsidP="00F57F94">
            <w:pPr>
              <w:jc w:val="center"/>
              <w:rPr>
                <w:rFonts w:cs="Arial"/>
                <w:b/>
              </w:rPr>
            </w:pPr>
            <w:r>
              <w:rPr>
                <w:rFonts w:cs="Arial"/>
                <w:b/>
              </w:rPr>
              <w:t>M</w:t>
            </w:r>
          </w:p>
        </w:tc>
        <w:tc>
          <w:tcPr>
            <w:tcW w:w="924" w:type="dxa"/>
          </w:tcPr>
          <w:p w14:paraId="0C510FB2" w14:textId="098E09AE" w:rsidR="00F57F94" w:rsidRPr="00023021" w:rsidRDefault="00F57F94" w:rsidP="00F57F94">
            <w:pPr>
              <w:jc w:val="center"/>
              <w:rPr>
                <w:rFonts w:cs="Arial"/>
                <w:b/>
              </w:rPr>
            </w:pPr>
            <w:r>
              <w:rPr>
                <w:rFonts w:cs="Arial"/>
                <w:b/>
              </w:rPr>
              <w:t>New</w:t>
            </w:r>
          </w:p>
        </w:tc>
      </w:tr>
      <w:tr w:rsidR="00F57F94" w:rsidRPr="00CA74C6" w14:paraId="383A1220" w14:textId="77777777" w:rsidTr="00565CB4">
        <w:tc>
          <w:tcPr>
            <w:tcW w:w="645" w:type="dxa"/>
          </w:tcPr>
          <w:p w14:paraId="290CEA40" w14:textId="719F7613" w:rsidR="00F57F94" w:rsidRDefault="00F57F94" w:rsidP="00F57F94">
            <w:pPr>
              <w:rPr>
                <w:rFonts w:ascii="Arial" w:hAnsi="Arial" w:cs="Arial"/>
              </w:rPr>
            </w:pPr>
            <w:r>
              <w:rPr>
                <w:rFonts w:ascii="Arial" w:hAnsi="Arial" w:cs="Arial"/>
              </w:rPr>
              <w:t>2.4</w:t>
            </w:r>
          </w:p>
        </w:tc>
        <w:tc>
          <w:tcPr>
            <w:tcW w:w="4462" w:type="dxa"/>
          </w:tcPr>
          <w:p w14:paraId="43A8D865" w14:textId="5EBD4A85" w:rsidR="00F57F94" w:rsidRDefault="00F57F94" w:rsidP="00F57F94">
            <w:pPr>
              <w:rPr>
                <w:rFonts w:cs="Arial"/>
                <w:lang w:eastAsia="en-GB"/>
              </w:rPr>
            </w:pPr>
            <w:r>
              <w:rPr>
                <w:rFonts w:cs="Arial"/>
                <w:lang w:eastAsia="en-GB"/>
              </w:rPr>
              <w:t>Failure of operational controls significantly affects LEP’s ability to deliver its function. Includes lack of adequate oversight of risk by the LEP Board</w:t>
            </w:r>
          </w:p>
          <w:p w14:paraId="6F8354BE" w14:textId="77777777" w:rsidR="00F57F94" w:rsidRDefault="00F57F94" w:rsidP="00F57F94">
            <w:pPr>
              <w:rPr>
                <w:rFonts w:cs="Arial"/>
                <w:lang w:eastAsia="en-GB"/>
              </w:rPr>
            </w:pPr>
          </w:p>
        </w:tc>
        <w:tc>
          <w:tcPr>
            <w:tcW w:w="792" w:type="dxa"/>
          </w:tcPr>
          <w:p w14:paraId="1C56DF68" w14:textId="3F826A57" w:rsidR="00F57F94" w:rsidRDefault="00F57F94" w:rsidP="00F57F94">
            <w:pPr>
              <w:jc w:val="center"/>
              <w:rPr>
                <w:rFonts w:cs="Arial"/>
                <w:lang w:eastAsia="en-GB"/>
              </w:rPr>
            </w:pPr>
            <w:r>
              <w:rPr>
                <w:rFonts w:cs="Arial"/>
                <w:lang w:eastAsia="en-GB"/>
              </w:rPr>
              <w:t>M</w:t>
            </w:r>
          </w:p>
        </w:tc>
        <w:tc>
          <w:tcPr>
            <w:tcW w:w="861" w:type="dxa"/>
          </w:tcPr>
          <w:p w14:paraId="4BC55F4A" w14:textId="093668AC" w:rsidR="00F57F94" w:rsidRDefault="00F57F94" w:rsidP="00F57F94">
            <w:pPr>
              <w:jc w:val="center"/>
              <w:rPr>
                <w:rFonts w:cs="Arial"/>
                <w:lang w:eastAsia="en-GB"/>
              </w:rPr>
            </w:pPr>
            <w:r>
              <w:rPr>
                <w:rFonts w:cs="Arial"/>
                <w:lang w:eastAsia="en-GB"/>
              </w:rPr>
              <w:t>H</w:t>
            </w:r>
          </w:p>
        </w:tc>
        <w:tc>
          <w:tcPr>
            <w:tcW w:w="788" w:type="dxa"/>
            <w:shd w:val="clear" w:color="auto" w:fill="FF0000"/>
          </w:tcPr>
          <w:p w14:paraId="6DE570CC" w14:textId="075A3287" w:rsidR="00F57F94" w:rsidRDefault="00F57F94" w:rsidP="00F57F94">
            <w:pPr>
              <w:jc w:val="center"/>
              <w:rPr>
                <w:rFonts w:cs="Arial"/>
                <w:b/>
                <w:lang w:eastAsia="en-GB"/>
              </w:rPr>
            </w:pPr>
            <w:r>
              <w:rPr>
                <w:rFonts w:cs="Arial"/>
                <w:b/>
                <w:lang w:eastAsia="en-GB"/>
              </w:rPr>
              <w:t>M/H</w:t>
            </w:r>
          </w:p>
        </w:tc>
        <w:tc>
          <w:tcPr>
            <w:tcW w:w="4426" w:type="dxa"/>
          </w:tcPr>
          <w:p w14:paraId="4773C6B8" w14:textId="00EDDB34" w:rsidR="00F57F94" w:rsidRDefault="003536BD" w:rsidP="00F57F94">
            <w:pPr>
              <w:pStyle w:val="ListParagraph"/>
              <w:numPr>
                <w:ilvl w:val="0"/>
                <w:numId w:val="9"/>
              </w:numPr>
              <w:rPr>
                <w:rFonts w:cs="Arial"/>
                <w:lang w:eastAsia="en-GB"/>
              </w:rPr>
            </w:pPr>
            <w:r>
              <w:rPr>
                <w:rFonts w:cs="Arial"/>
                <w:lang w:eastAsia="en-GB"/>
              </w:rPr>
              <w:t>OIC</w:t>
            </w:r>
            <w:r w:rsidR="00F57F94">
              <w:rPr>
                <w:rFonts w:cs="Arial"/>
                <w:lang w:eastAsia="en-GB"/>
              </w:rPr>
              <w:t xml:space="preserve"> monitors overall risk position monthly with 6-monthly update provided to the </w:t>
            </w:r>
            <w:proofErr w:type="gramStart"/>
            <w:r w:rsidR="00F57F94">
              <w:rPr>
                <w:rFonts w:cs="Arial"/>
                <w:lang w:eastAsia="en-GB"/>
              </w:rPr>
              <w:t>Board</w:t>
            </w:r>
            <w:proofErr w:type="gramEnd"/>
          </w:p>
          <w:p w14:paraId="162536ED" w14:textId="3314FE7D" w:rsidR="00F57F94" w:rsidRPr="000060AC" w:rsidRDefault="00F57F94" w:rsidP="00F57F94">
            <w:pPr>
              <w:pStyle w:val="ListParagraph"/>
              <w:ind w:left="360"/>
              <w:rPr>
                <w:rFonts w:cs="Arial"/>
                <w:lang w:eastAsia="en-GB"/>
              </w:rPr>
            </w:pPr>
          </w:p>
        </w:tc>
        <w:tc>
          <w:tcPr>
            <w:tcW w:w="1784" w:type="dxa"/>
          </w:tcPr>
          <w:p w14:paraId="0645BF8D" w14:textId="15BAB83D" w:rsidR="00F57F94" w:rsidRDefault="003536BD" w:rsidP="00F57F94">
            <w:pPr>
              <w:rPr>
                <w:rFonts w:cs="Arial"/>
                <w:b/>
                <w:lang w:eastAsia="en-GB"/>
              </w:rPr>
            </w:pPr>
            <w:r>
              <w:rPr>
                <w:rFonts w:cs="Arial"/>
                <w:b/>
                <w:lang w:eastAsia="en-GB"/>
              </w:rPr>
              <w:t>OIC</w:t>
            </w:r>
          </w:p>
          <w:p w14:paraId="3CD22BA3" w14:textId="77777777" w:rsidR="00F57F94" w:rsidRDefault="00F57F94" w:rsidP="00F57F94">
            <w:pPr>
              <w:rPr>
                <w:rFonts w:cs="Arial"/>
                <w:b/>
                <w:lang w:eastAsia="en-GB"/>
              </w:rPr>
            </w:pPr>
          </w:p>
          <w:p w14:paraId="2CB8DC78" w14:textId="65E0D485" w:rsidR="00F57F94" w:rsidRDefault="00F57F94" w:rsidP="00F57F94">
            <w:pPr>
              <w:rPr>
                <w:rFonts w:cs="Arial"/>
                <w:b/>
                <w:lang w:eastAsia="en-GB"/>
              </w:rPr>
            </w:pPr>
            <w:r>
              <w:rPr>
                <w:rFonts w:cs="Arial"/>
                <w:b/>
                <w:lang w:eastAsia="en-GB"/>
              </w:rPr>
              <w:t>Action: CEX/ COO</w:t>
            </w:r>
          </w:p>
        </w:tc>
        <w:tc>
          <w:tcPr>
            <w:tcW w:w="706" w:type="dxa"/>
            <w:shd w:val="clear" w:color="auto" w:fill="00CC00"/>
          </w:tcPr>
          <w:p w14:paraId="4AEEAE2D" w14:textId="1741CF22" w:rsidR="00F57F94" w:rsidRDefault="00F57F94" w:rsidP="00F57F94">
            <w:pPr>
              <w:jc w:val="center"/>
              <w:rPr>
                <w:rFonts w:cs="Arial"/>
                <w:b/>
              </w:rPr>
            </w:pPr>
            <w:r>
              <w:rPr>
                <w:rFonts w:cs="Arial"/>
                <w:b/>
              </w:rPr>
              <w:t>L</w:t>
            </w:r>
          </w:p>
        </w:tc>
        <w:tc>
          <w:tcPr>
            <w:tcW w:w="924" w:type="dxa"/>
          </w:tcPr>
          <w:p w14:paraId="419CD23C" w14:textId="71D14A67" w:rsidR="00F57F94" w:rsidRPr="00023021" w:rsidRDefault="00F57F94" w:rsidP="00F57F94">
            <w:pPr>
              <w:jc w:val="center"/>
              <w:rPr>
                <w:rFonts w:cs="Arial"/>
                <w:b/>
              </w:rPr>
            </w:pPr>
            <w:r w:rsidRPr="00023021">
              <w:rPr>
                <w:rFonts w:cs="Arial"/>
                <w:b/>
              </w:rPr>
              <w:t>↔</w:t>
            </w:r>
          </w:p>
        </w:tc>
      </w:tr>
      <w:tr w:rsidR="00F57F94" w:rsidRPr="00CA74C6" w14:paraId="28A72B36" w14:textId="77777777" w:rsidTr="003C2665">
        <w:tc>
          <w:tcPr>
            <w:tcW w:w="645" w:type="dxa"/>
            <w:shd w:val="clear" w:color="auto" w:fill="E2EFD9" w:themeFill="accent6" w:themeFillTint="33"/>
          </w:tcPr>
          <w:p w14:paraId="06C05C3E" w14:textId="77777777" w:rsidR="00F57F94" w:rsidRPr="00CA74C6" w:rsidRDefault="00F57F94" w:rsidP="00F57F94">
            <w:pPr>
              <w:rPr>
                <w:rFonts w:ascii="Arial" w:hAnsi="Arial" w:cs="Arial"/>
                <w:b/>
              </w:rPr>
            </w:pPr>
            <w:r w:rsidRPr="00CA74C6">
              <w:rPr>
                <w:rFonts w:ascii="Arial" w:hAnsi="Arial" w:cs="Arial"/>
                <w:b/>
              </w:rPr>
              <w:t>3</w:t>
            </w:r>
          </w:p>
        </w:tc>
        <w:tc>
          <w:tcPr>
            <w:tcW w:w="14743" w:type="dxa"/>
            <w:gridSpan w:val="8"/>
            <w:shd w:val="clear" w:color="auto" w:fill="E2EFD9" w:themeFill="accent6" w:themeFillTint="33"/>
          </w:tcPr>
          <w:p w14:paraId="172AB76F" w14:textId="77777777" w:rsidR="00F57F94" w:rsidRDefault="00F57F94" w:rsidP="00F57F94">
            <w:pPr>
              <w:rPr>
                <w:rFonts w:ascii="Arial" w:hAnsi="Arial" w:cs="Arial"/>
                <w:b/>
              </w:rPr>
            </w:pPr>
            <w:r>
              <w:rPr>
                <w:rFonts w:ascii="Arial" w:hAnsi="Arial" w:cs="Arial"/>
                <w:b/>
              </w:rPr>
              <w:t>STAKEHOLDER</w:t>
            </w:r>
            <w:r w:rsidRPr="00CA74C6">
              <w:rPr>
                <w:rFonts w:ascii="Arial" w:hAnsi="Arial" w:cs="Arial"/>
                <w:b/>
              </w:rPr>
              <w:t xml:space="preserve"> / PARTNERSHIP</w:t>
            </w:r>
          </w:p>
          <w:p w14:paraId="1C9F5C5D" w14:textId="5838D405" w:rsidR="00F57F94" w:rsidRPr="00CA74C6" w:rsidRDefault="00F57F94" w:rsidP="00F57F94">
            <w:pPr>
              <w:rPr>
                <w:rFonts w:ascii="Arial" w:hAnsi="Arial" w:cs="Arial"/>
                <w:b/>
              </w:rPr>
            </w:pPr>
          </w:p>
        </w:tc>
      </w:tr>
      <w:tr w:rsidR="00F57F94" w:rsidRPr="00CA74C6" w14:paraId="735A6608" w14:textId="77777777" w:rsidTr="00565CB4">
        <w:tc>
          <w:tcPr>
            <w:tcW w:w="645" w:type="dxa"/>
          </w:tcPr>
          <w:p w14:paraId="30317EC6" w14:textId="77777777" w:rsidR="00F57F94" w:rsidRPr="00CA74C6" w:rsidRDefault="00F57F94" w:rsidP="00F57F94">
            <w:pPr>
              <w:rPr>
                <w:rFonts w:ascii="Arial" w:hAnsi="Arial" w:cs="Arial"/>
              </w:rPr>
            </w:pPr>
            <w:r>
              <w:rPr>
                <w:rFonts w:ascii="Arial" w:hAnsi="Arial" w:cs="Arial"/>
              </w:rPr>
              <w:t>3.1</w:t>
            </w:r>
          </w:p>
        </w:tc>
        <w:tc>
          <w:tcPr>
            <w:tcW w:w="4462" w:type="dxa"/>
          </w:tcPr>
          <w:p w14:paraId="75D948B2" w14:textId="57587946" w:rsidR="00F57F94" w:rsidRPr="00BD00A3" w:rsidRDefault="00F57F94" w:rsidP="00F57F94">
            <w:pPr>
              <w:rPr>
                <w:rFonts w:cs="Arial"/>
                <w:lang w:eastAsia="en-GB"/>
              </w:rPr>
            </w:pPr>
            <w:r w:rsidRPr="00BD00A3">
              <w:rPr>
                <w:rFonts w:cs="Arial"/>
                <w:lang w:eastAsia="en-GB"/>
              </w:rPr>
              <w:t>LEP partners and stakeholders</w:t>
            </w:r>
            <w:r>
              <w:rPr>
                <w:rFonts w:cs="Arial"/>
                <w:lang w:eastAsia="en-GB"/>
              </w:rPr>
              <w:t>, including business</w:t>
            </w:r>
            <w:r w:rsidRPr="00BD00A3">
              <w:rPr>
                <w:rFonts w:cs="Arial"/>
                <w:lang w:eastAsia="en-GB"/>
              </w:rPr>
              <w:t xml:space="preserve"> </w:t>
            </w:r>
            <w:r>
              <w:rPr>
                <w:rFonts w:cs="Arial"/>
                <w:lang w:eastAsia="en-GB"/>
              </w:rPr>
              <w:t>may not be</w:t>
            </w:r>
            <w:r w:rsidRPr="00BD00A3">
              <w:rPr>
                <w:rFonts w:cs="Arial"/>
                <w:lang w:eastAsia="en-GB"/>
              </w:rPr>
              <w:t xml:space="preserve"> aware of, or interested in, the LEP’s objectives, resulting in weak responses to calls for input from organisations or sectors currently under-represented in the LEP structure.</w:t>
            </w:r>
          </w:p>
        </w:tc>
        <w:tc>
          <w:tcPr>
            <w:tcW w:w="792" w:type="dxa"/>
          </w:tcPr>
          <w:p w14:paraId="2BC6BB8B" w14:textId="77777777" w:rsidR="00F57F94" w:rsidRPr="00BD00A3" w:rsidRDefault="00F57F94" w:rsidP="00F57F94">
            <w:pPr>
              <w:jc w:val="center"/>
              <w:rPr>
                <w:rFonts w:cs="Arial"/>
                <w:lang w:eastAsia="en-GB"/>
              </w:rPr>
            </w:pPr>
            <w:r w:rsidRPr="00BD00A3">
              <w:rPr>
                <w:rFonts w:cs="Arial"/>
                <w:lang w:eastAsia="en-GB"/>
              </w:rPr>
              <w:t>L</w:t>
            </w:r>
          </w:p>
        </w:tc>
        <w:tc>
          <w:tcPr>
            <w:tcW w:w="861" w:type="dxa"/>
          </w:tcPr>
          <w:p w14:paraId="0215861D" w14:textId="77777777" w:rsidR="00F57F94" w:rsidRPr="00BD00A3" w:rsidRDefault="00F57F94" w:rsidP="00F57F94">
            <w:pPr>
              <w:jc w:val="center"/>
              <w:rPr>
                <w:rFonts w:cs="Arial"/>
                <w:lang w:eastAsia="en-GB"/>
              </w:rPr>
            </w:pPr>
            <w:r w:rsidRPr="00BD00A3">
              <w:rPr>
                <w:rFonts w:cs="Arial"/>
                <w:lang w:eastAsia="en-GB"/>
              </w:rPr>
              <w:t>M</w:t>
            </w:r>
          </w:p>
        </w:tc>
        <w:tc>
          <w:tcPr>
            <w:tcW w:w="788" w:type="dxa"/>
            <w:shd w:val="clear" w:color="auto" w:fill="FFCC00"/>
          </w:tcPr>
          <w:p w14:paraId="0EC6A602" w14:textId="44E02AB9" w:rsidR="00F57F94" w:rsidRPr="00BD00A3" w:rsidRDefault="00F57F94" w:rsidP="00F57F94">
            <w:pPr>
              <w:jc w:val="center"/>
              <w:rPr>
                <w:rFonts w:cs="Arial"/>
                <w:b/>
                <w:lang w:eastAsia="en-GB"/>
              </w:rPr>
            </w:pPr>
            <w:r>
              <w:rPr>
                <w:rFonts w:cs="Arial"/>
                <w:b/>
                <w:lang w:eastAsia="en-GB"/>
              </w:rPr>
              <w:t>L/</w:t>
            </w:r>
            <w:r w:rsidRPr="00BD00A3">
              <w:rPr>
                <w:rFonts w:cs="Arial"/>
                <w:b/>
                <w:lang w:eastAsia="en-GB"/>
              </w:rPr>
              <w:t>M</w:t>
            </w:r>
          </w:p>
        </w:tc>
        <w:tc>
          <w:tcPr>
            <w:tcW w:w="4426" w:type="dxa"/>
          </w:tcPr>
          <w:p w14:paraId="469CDA2D" w14:textId="13FF7CE2" w:rsidR="00F57F94" w:rsidRPr="00393257" w:rsidRDefault="00F57F94" w:rsidP="00F57F94">
            <w:pPr>
              <w:pStyle w:val="ListParagraph"/>
              <w:numPr>
                <w:ilvl w:val="0"/>
                <w:numId w:val="12"/>
              </w:numPr>
              <w:rPr>
                <w:rFonts w:cs="Arial"/>
                <w:lang w:eastAsia="en-GB"/>
              </w:rPr>
            </w:pPr>
            <w:bookmarkStart w:id="0" w:name="_Hlk496249882"/>
            <w:r w:rsidRPr="00393257">
              <w:rPr>
                <w:rFonts w:cs="Arial"/>
                <w:lang w:eastAsia="en-GB"/>
              </w:rPr>
              <w:t>The LEP is supported by stakeholder engagement and communications devised to ensure a broad level of appropriate engagement. The LEP will also ensure that commissioning processes will include significant engagement and that we use national funding bids as an opportunity to invite submissions and ideas from our partners</w:t>
            </w:r>
            <w:bookmarkEnd w:id="0"/>
            <w:r w:rsidRPr="00393257">
              <w:rPr>
                <w:rFonts w:cs="Arial"/>
                <w:lang w:eastAsia="en-GB"/>
              </w:rPr>
              <w:t>.</w:t>
            </w:r>
          </w:p>
          <w:p w14:paraId="0F17C157" w14:textId="076FCBF2" w:rsidR="00F57F94" w:rsidRDefault="00F57F94" w:rsidP="00F57F94">
            <w:pPr>
              <w:pStyle w:val="ListParagraph"/>
              <w:numPr>
                <w:ilvl w:val="0"/>
                <w:numId w:val="12"/>
              </w:numPr>
              <w:rPr>
                <w:rFonts w:cs="Arial"/>
                <w:lang w:eastAsia="en-GB"/>
              </w:rPr>
            </w:pPr>
            <w:r>
              <w:rPr>
                <w:rFonts w:cs="Arial"/>
                <w:lang w:eastAsia="en-GB"/>
              </w:rPr>
              <w:t xml:space="preserve">LEP engaging with local political leaders through the Joint Committee </w:t>
            </w:r>
          </w:p>
          <w:p w14:paraId="1AD36842" w14:textId="01676C8F" w:rsidR="00F57F94" w:rsidRDefault="00F57F94" w:rsidP="00F57F94">
            <w:pPr>
              <w:pStyle w:val="ListParagraph"/>
              <w:numPr>
                <w:ilvl w:val="0"/>
                <w:numId w:val="12"/>
              </w:numPr>
              <w:rPr>
                <w:rFonts w:cs="Arial"/>
                <w:lang w:eastAsia="en-GB"/>
              </w:rPr>
            </w:pPr>
            <w:r>
              <w:rPr>
                <w:rFonts w:cs="Arial"/>
                <w:lang w:eastAsia="en-GB"/>
              </w:rPr>
              <w:t xml:space="preserve">Chair engaging directly with business orgs to raise profile amongst prospective Board </w:t>
            </w:r>
            <w:proofErr w:type="gramStart"/>
            <w:r>
              <w:rPr>
                <w:rFonts w:cs="Arial"/>
                <w:lang w:eastAsia="en-GB"/>
              </w:rPr>
              <w:t>members</w:t>
            </w:r>
            <w:proofErr w:type="gramEnd"/>
          </w:p>
          <w:p w14:paraId="000B6D88" w14:textId="0F6B1E28" w:rsidR="00F57F94" w:rsidRPr="003F1B68" w:rsidRDefault="00F57F94" w:rsidP="00F57F94">
            <w:pPr>
              <w:pStyle w:val="ListParagraph"/>
              <w:numPr>
                <w:ilvl w:val="0"/>
                <w:numId w:val="12"/>
              </w:numPr>
              <w:rPr>
                <w:rFonts w:cs="Arial"/>
                <w:lang w:eastAsia="en-GB"/>
              </w:rPr>
            </w:pPr>
            <w:r>
              <w:rPr>
                <w:rFonts w:cs="Arial"/>
                <w:lang w:eastAsia="en-GB"/>
              </w:rPr>
              <w:t>LEP member of GSW partnership board</w:t>
            </w:r>
          </w:p>
          <w:p w14:paraId="75DB594B" w14:textId="764816BA" w:rsidR="00F57F94" w:rsidRPr="00051AAB" w:rsidRDefault="00F57F94" w:rsidP="00F57F94">
            <w:pPr>
              <w:rPr>
                <w:rFonts w:cs="Arial"/>
                <w:lang w:eastAsia="en-GB"/>
              </w:rPr>
            </w:pPr>
          </w:p>
        </w:tc>
        <w:tc>
          <w:tcPr>
            <w:tcW w:w="1784" w:type="dxa"/>
          </w:tcPr>
          <w:p w14:paraId="7AFD766C" w14:textId="77777777" w:rsidR="00F57F94" w:rsidRPr="00BD00A3" w:rsidRDefault="00F57F94" w:rsidP="00F57F94">
            <w:pPr>
              <w:rPr>
                <w:rFonts w:cs="Arial"/>
                <w:b/>
                <w:lang w:eastAsia="en-GB"/>
              </w:rPr>
            </w:pPr>
            <w:r w:rsidRPr="00BD00A3">
              <w:rPr>
                <w:rFonts w:cs="Arial"/>
                <w:b/>
                <w:lang w:eastAsia="en-GB"/>
              </w:rPr>
              <w:t xml:space="preserve">Board &amp; </w:t>
            </w:r>
            <w:proofErr w:type="spellStart"/>
            <w:r w:rsidRPr="00BD00A3">
              <w:rPr>
                <w:rFonts w:cs="Arial"/>
                <w:b/>
                <w:lang w:eastAsia="en-GB"/>
              </w:rPr>
              <w:t>L’ship</w:t>
            </w:r>
            <w:proofErr w:type="spellEnd"/>
            <w:r w:rsidRPr="00BD00A3">
              <w:rPr>
                <w:rFonts w:cs="Arial"/>
                <w:b/>
                <w:lang w:eastAsia="en-GB"/>
              </w:rPr>
              <w:t xml:space="preserve"> Groups</w:t>
            </w:r>
          </w:p>
          <w:p w14:paraId="68B507E4" w14:textId="77777777" w:rsidR="00F57F94" w:rsidRPr="00BD00A3" w:rsidRDefault="00F57F94" w:rsidP="00F57F94">
            <w:pPr>
              <w:rPr>
                <w:rFonts w:cs="Arial"/>
                <w:lang w:eastAsia="en-GB"/>
              </w:rPr>
            </w:pPr>
          </w:p>
          <w:p w14:paraId="03FC9D02" w14:textId="77777777" w:rsidR="00F57F94" w:rsidRPr="00BD00A3" w:rsidRDefault="00F57F94" w:rsidP="00F57F94">
            <w:pPr>
              <w:rPr>
                <w:rFonts w:cs="Arial"/>
                <w:lang w:eastAsia="en-GB"/>
              </w:rPr>
            </w:pPr>
            <w:r w:rsidRPr="00BD00A3">
              <w:rPr>
                <w:rFonts w:cs="Arial"/>
                <w:lang w:eastAsia="en-GB"/>
              </w:rPr>
              <w:t>Action: Management team</w:t>
            </w:r>
          </w:p>
        </w:tc>
        <w:tc>
          <w:tcPr>
            <w:tcW w:w="706" w:type="dxa"/>
            <w:shd w:val="clear" w:color="auto" w:fill="00CC00"/>
          </w:tcPr>
          <w:p w14:paraId="0D200DC7" w14:textId="77777777" w:rsidR="00F57F94" w:rsidRPr="00BD00A3" w:rsidRDefault="00F57F94" w:rsidP="00F57F94">
            <w:pPr>
              <w:jc w:val="center"/>
              <w:rPr>
                <w:rFonts w:cs="Arial"/>
                <w:b/>
              </w:rPr>
            </w:pPr>
            <w:r w:rsidRPr="00BD00A3">
              <w:rPr>
                <w:rFonts w:cs="Arial"/>
                <w:b/>
              </w:rPr>
              <w:t>L</w:t>
            </w:r>
          </w:p>
        </w:tc>
        <w:tc>
          <w:tcPr>
            <w:tcW w:w="924" w:type="dxa"/>
          </w:tcPr>
          <w:p w14:paraId="21BD39AD" w14:textId="77777777" w:rsidR="00F57F94" w:rsidRPr="00BD00A3" w:rsidRDefault="00F57F94" w:rsidP="00F57F94">
            <w:pPr>
              <w:jc w:val="center"/>
              <w:rPr>
                <w:rFonts w:cs="Arial"/>
              </w:rPr>
            </w:pPr>
            <w:r w:rsidRPr="00023021">
              <w:rPr>
                <w:rFonts w:cs="Arial"/>
                <w:b/>
              </w:rPr>
              <w:t>↔</w:t>
            </w:r>
          </w:p>
        </w:tc>
      </w:tr>
      <w:tr w:rsidR="00F57F94" w:rsidRPr="00CA74C6" w14:paraId="114B4F5A" w14:textId="77777777" w:rsidTr="003C2665">
        <w:tc>
          <w:tcPr>
            <w:tcW w:w="645" w:type="dxa"/>
            <w:shd w:val="clear" w:color="auto" w:fill="E2EFD9" w:themeFill="accent6" w:themeFillTint="33"/>
          </w:tcPr>
          <w:p w14:paraId="0BDD8907" w14:textId="6C2A45F0" w:rsidR="00F57F94" w:rsidRPr="00CA74C6" w:rsidRDefault="00F57F94" w:rsidP="00F57F94">
            <w:pPr>
              <w:rPr>
                <w:rFonts w:ascii="Arial" w:hAnsi="Arial" w:cs="Arial"/>
                <w:b/>
              </w:rPr>
            </w:pPr>
            <w:r>
              <w:rPr>
                <w:rFonts w:ascii="Arial" w:hAnsi="Arial" w:cs="Arial"/>
                <w:b/>
              </w:rPr>
              <w:t>4</w:t>
            </w:r>
          </w:p>
        </w:tc>
        <w:tc>
          <w:tcPr>
            <w:tcW w:w="14743" w:type="dxa"/>
            <w:gridSpan w:val="8"/>
            <w:shd w:val="clear" w:color="auto" w:fill="E2EFD9" w:themeFill="accent6" w:themeFillTint="33"/>
          </w:tcPr>
          <w:p w14:paraId="4CDE901C" w14:textId="77777777" w:rsidR="00F57F94" w:rsidRPr="00EF0A27" w:rsidRDefault="00F57F94" w:rsidP="00F57F94">
            <w:pPr>
              <w:rPr>
                <w:rFonts w:ascii="Arial" w:hAnsi="Arial" w:cs="Arial"/>
                <w:i/>
              </w:rPr>
            </w:pPr>
            <w:r w:rsidRPr="00CA74C6">
              <w:rPr>
                <w:rFonts w:ascii="Arial" w:hAnsi="Arial" w:cs="Arial"/>
                <w:b/>
              </w:rPr>
              <w:t>PROGRAMME / PROJECT DELIVERY</w:t>
            </w:r>
            <w:r>
              <w:rPr>
                <w:rFonts w:ascii="Arial" w:hAnsi="Arial" w:cs="Arial"/>
                <w:b/>
              </w:rPr>
              <w:t xml:space="preserve"> </w:t>
            </w:r>
            <w:r>
              <w:rPr>
                <w:rFonts w:ascii="Arial" w:hAnsi="Arial" w:cs="Arial"/>
                <w:i/>
              </w:rPr>
              <w:t>(Refer also to programme highlight report &amp; summary for further detail on delivery management and risk)</w:t>
            </w:r>
          </w:p>
        </w:tc>
      </w:tr>
      <w:tr w:rsidR="00F57F94" w:rsidRPr="00CA74C6" w14:paraId="3834F995" w14:textId="77777777" w:rsidTr="00565CB4">
        <w:tc>
          <w:tcPr>
            <w:tcW w:w="645" w:type="dxa"/>
          </w:tcPr>
          <w:p w14:paraId="43663CC8" w14:textId="0E0C6F59" w:rsidR="00F57F94" w:rsidRPr="00CA74C6" w:rsidRDefault="00F57F94" w:rsidP="00F57F94">
            <w:pPr>
              <w:rPr>
                <w:rFonts w:ascii="Arial" w:hAnsi="Arial" w:cs="Arial"/>
              </w:rPr>
            </w:pPr>
            <w:r>
              <w:br w:type="page"/>
            </w:r>
            <w:r>
              <w:rPr>
                <w:rFonts w:ascii="Arial" w:hAnsi="Arial" w:cs="Arial"/>
              </w:rPr>
              <w:t>4.1</w:t>
            </w:r>
          </w:p>
        </w:tc>
        <w:tc>
          <w:tcPr>
            <w:tcW w:w="4462" w:type="dxa"/>
          </w:tcPr>
          <w:p w14:paraId="08C792FA" w14:textId="7D3E8D6B" w:rsidR="00F57F94" w:rsidRDefault="00F57F94" w:rsidP="00F57F94">
            <w:pPr>
              <w:rPr>
                <w:rFonts w:cs="Arial"/>
                <w:lang w:eastAsia="en-GB"/>
              </w:rPr>
            </w:pPr>
            <w:r w:rsidRPr="00EC4509">
              <w:rPr>
                <w:rFonts w:cs="Arial"/>
                <w:lang w:eastAsia="en-GB"/>
              </w:rPr>
              <w:t>Inadequate governance and delivery structures / systems</w:t>
            </w:r>
            <w:r>
              <w:rPr>
                <w:rFonts w:cs="Arial"/>
                <w:lang w:eastAsia="en-GB"/>
              </w:rPr>
              <w:t xml:space="preserve"> could</w:t>
            </w:r>
            <w:r w:rsidRPr="00EC4509">
              <w:rPr>
                <w:rFonts w:cs="Arial"/>
                <w:lang w:eastAsia="en-GB"/>
              </w:rPr>
              <w:t xml:space="preserve"> lead to inefficient and </w:t>
            </w:r>
            <w:r w:rsidRPr="00EC4509">
              <w:rPr>
                <w:rFonts w:cs="Arial"/>
                <w:lang w:eastAsia="en-GB"/>
              </w:rPr>
              <w:lastRenderedPageBreak/>
              <w:t>ineffective implementation which results in the LEP’s failure to meet spend/</w:t>
            </w:r>
            <w:r>
              <w:rPr>
                <w:rFonts w:cs="Arial"/>
                <w:lang w:eastAsia="en-GB"/>
              </w:rPr>
              <w:t xml:space="preserve">outputs </w:t>
            </w:r>
            <w:r w:rsidRPr="00EC4509">
              <w:rPr>
                <w:rFonts w:cs="Arial"/>
                <w:lang w:eastAsia="en-GB"/>
              </w:rPr>
              <w:t>performance targets</w:t>
            </w:r>
            <w:r>
              <w:rPr>
                <w:rFonts w:cs="Arial"/>
                <w:lang w:eastAsia="en-GB"/>
              </w:rPr>
              <w:t xml:space="preserve">. </w:t>
            </w:r>
          </w:p>
          <w:p w14:paraId="4AD96B66" w14:textId="77777777" w:rsidR="00F57F94" w:rsidRDefault="00F57F94" w:rsidP="00F57F94">
            <w:pPr>
              <w:rPr>
                <w:rFonts w:cs="Arial"/>
                <w:lang w:eastAsia="en-GB"/>
              </w:rPr>
            </w:pPr>
          </w:p>
          <w:p w14:paraId="6C73C390" w14:textId="2D2DE487" w:rsidR="00F57F94" w:rsidRDefault="00F57F94" w:rsidP="00F57F94">
            <w:pPr>
              <w:rPr>
                <w:rFonts w:cs="Arial"/>
                <w:lang w:eastAsia="en-GB"/>
              </w:rPr>
            </w:pPr>
            <w:r>
              <w:rPr>
                <w:rFonts w:cs="Arial"/>
                <w:lang w:eastAsia="en-GB"/>
              </w:rPr>
              <w:t>This risks</w:t>
            </w:r>
            <w:r w:rsidRPr="00150325">
              <w:rPr>
                <w:rFonts w:cs="Arial"/>
                <w:lang w:eastAsia="en-GB"/>
              </w:rPr>
              <w:t xml:space="preserve"> negatively impact</w:t>
            </w:r>
            <w:r>
              <w:rPr>
                <w:rFonts w:cs="Arial"/>
                <w:lang w:eastAsia="en-GB"/>
              </w:rPr>
              <w:t>ing</w:t>
            </w:r>
            <w:r w:rsidRPr="00150325">
              <w:rPr>
                <w:rFonts w:cs="Arial"/>
                <w:lang w:eastAsia="en-GB"/>
              </w:rPr>
              <w:t xml:space="preserve"> on Govt’s perception of the LEP and therefore affects the LEP’s ability to attract future funding</w:t>
            </w:r>
            <w:r>
              <w:rPr>
                <w:rFonts w:cs="Arial"/>
                <w:lang w:eastAsia="en-GB"/>
              </w:rPr>
              <w:t>.</w:t>
            </w:r>
          </w:p>
          <w:p w14:paraId="44368B04" w14:textId="540BD0CB" w:rsidR="00F57F94" w:rsidRPr="00EC4509" w:rsidRDefault="00F57F94" w:rsidP="00F57F94">
            <w:pPr>
              <w:rPr>
                <w:rFonts w:cs="Arial"/>
                <w:lang w:eastAsia="en-GB"/>
              </w:rPr>
            </w:pPr>
          </w:p>
        </w:tc>
        <w:tc>
          <w:tcPr>
            <w:tcW w:w="792" w:type="dxa"/>
          </w:tcPr>
          <w:p w14:paraId="7B7FE16E" w14:textId="77777777" w:rsidR="00F57F94" w:rsidRPr="00EC4509" w:rsidRDefault="00F57F94" w:rsidP="00F57F94">
            <w:pPr>
              <w:jc w:val="center"/>
              <w:rPr>
                <w:rFonts w:cs="Arial"/>
                <w:lang w:eastAsia="en-GB"/>
              </w:rPr>
            </w:pPr>
            <w:r w:rsidRPr="00EC4509">
              <w:rPr>
                <w:rFonts w:cs="Arial"/>
                <w:lang w:eastAsia="en-GB"/>
              </w:rPr>
              <w:lastRenderedPageBreak/>
              <w:t>M</w:t>
            </w:r>
          </w:p>
        </w:tc>
        <w:tc>
          <w:tcPr>
            <w:tcW w:w="861" w:type="dxa"/>
          </w:tcPr>
          <w:p w14:paraId="73F83603" w14:textId="77777777" w:rsidR="00F57F94" w:rsidRPr="00EC4509" w:rsidRDefault="00F57F94" w:rsidP="00F57F94">
            <w:pPr>
              <w:jc w:val="center"/>
              <w:rPr>
                <w:rFonts w:cs="Arial"/>
                <w:lang w:eastAsia="en-GB"/>
              </w:rPr>
            </w:pPr>
            <w:r w:rsidRPr="00EC4509">
              <w:rPr>
                <w:rFonts w:cs="Arial"/>
                <w:lang w:eastAsia="en-GB"/>
              </w:rPr>
              <w:t>M</w:t>
            </w:r>
          </w:p>
        </w:tc>
        <w:tc>
          <w:tcPr>
            <w:tcW w:w="788" w:type="dxa"/>
            <w:shd w:val="clear" w:color="auto" w:fill="FFCC00"/>
          </w:tcPr>
          <w:p w14:paraId="143D1770" w14:textId="77777777" w:rsidR="00F57F94" w:rsidRPr="00EC4509" w:rsidRDefault="00F57F94" w:rsidP="00F57F94">
            <w:pPr>
              <w:jc w:val="center"/>
              <w:rPr>
                <w:rFonts w:cs="Arial"/>
                <w:b/>
                <w:lang w:eastAsia="en-GB"/>
              </w:rPr>
            </w:pPr>
            <w:r w:rsidRPr="00EC4509">
              <w:rPr>
                <w:rFonts w:cs="Arial"/>
                <w:b/>
                <w:lang w:eastAsia="en-GB"/>
              </w:rPr>
              <w:t>M</w:t>
            </w:r>
          </w:p>
        </w:tc>
        <w:tc>
          <w:tcPr>
            <w:tcW w:w="4426" w:type="dxa"/>
          </w:tcPr>
          <w:p w14:paraId="2A90E1CB" w14:textId="1D0B4950" w:rsidR="00F57F94" w:rsidRPr="00145A07" w:rsidRDefault="00F57F94" w:rsidP="00F57F94">
            <w:pPr>
              <w:pStyle w:val="ListParagraph"/>
              <w:numPr>
                <w:ilvl w:val="0"/>
                <w:numId w:val="28"/>
              </w:numPr>
              <w:rPr>
                <w:rFonts w:cs="Arial"/>
                <w:lang w:eastAsia="en-GB"/>
              </w:rPr>
            </w:pPr>
            <w:r w:rsidRPr="00145A07">
              <w:rPr>
                <w:rFonts w:cs="Arial"/>
                <w:lang w:eastAsia="en-GB"/>
              </w:rPr>
              <w:t xml:space="preserve">Getting Building Fund </w:t>
            </w:r>
            <w:r>
              <w:rPr>
                <w:rFonts w:cs="Arial"/>
                <w:lang w:eastAsia="en-GB"/>
              </w:rPr>
              <w:t>achieved</w:t>
            </w:r>
            <w:r w:rsidRPr="00145A07">
              <w:rPr>
                <w:rFonts w:cs="Arial"/>
                <w:lang w:eastAsia="en-GB"/>
              </w:rPr>
              <w:t xml:space="preserve"> </w:t>
            </w:r>
            <w:r>
              <w:rPr>
                <w:rFonts w:cs="Arial"/>
                <w:lang w:eastAsia="en-GB"/>
              </w:rPr>
              <w:t xml:space="preserve">spend </w:t>
            </w:r>
            <w:r w:rsidRPr="00145A07">
              <w:rPr>
                <w:rFonts w:cs="Arial"/>
                <w:lang w:eastAsia="en-GB"/>
              </w:rPr>
              <w:t>target by March 22</w:t>
            </w:r>
            <w:r>
              <w:rPr>
                <w:rFonts w:cs="Arial"/>
                <w:lang w:eastAsia="en-GB"/>
              </w:rPr>
              <w:t xml:space="preserve"> and remaining funds </w:t>
            </w:r>
            <w:r>
              <w:rPr>
                <w:rFonts w:cs="Arial"/>
                <w:lang w:eastAsia="en-GB"/>
              </w:rPr>
              <w:lastRenderedPageBreak/>
              <w:t xml:space="preserve">managed through </w:t>
            </w:r>
            <w:r w:rsidRPr="00145A07">
              <w:rPr>
                <w:rFonts w:cs="Arial"/>
                <w:lang w:eastAsia="en-GB"/>
              </w:rPr>
              <w:t>freedoms and flexibilities</w:t>
            </w:r>
            <w:r w:rsidR="00211831">
              <w:rPr>
                <w:rFonts w:cs="Arial"/>
                <w:lang w:eastAsia="en-GB"/>
              </w:rPr>
              <w:t>, all defrayed by Mar 23</w:t>
            </w:r>
            <w:r w:rsidRPr="00145A07">
              <w:rPr>
                <w:rFonts w:cs="Arial"/>
                <w:lang w:eastAsia="en-GB"/>
              </w:rPr>
              <w:t>.</w:t>
            </w:r>
          </w:p>
          <w:p w14:paraId="32363141" w14:textId="7AE06D7B" w:rsidR="00F57F94" w:rsidRDefault="00F57F94" w:rsidP="00F57F94">
            <w:pPr>
              <w:pStyle w:val="ListParagraph"/>
              <w:numPr>
                <w:ilvl w:val="0"/>
                <w:numId w:val="28"/>
              </w:numPr>
              <w:rPr>
                <w:rFonts w:cs="Arial"/>
                <w:lang w:eastAsia="en-GB"/>
              </w:rPr>
            </w:pPr>
            <w:r w:rsidRPr="00145A07">
              <w:rPr>
                <w:rFonts w:cs="Arial"/>
                <w:lang w:eastAsia="en-GB"/>
              </w:rPr>
              <w:t xml:space="preserve">Outputs performance </w:t>
            </w:r>
            <w:r>
              <w:rPr>
                <w:rFonts w:cs="Arial"/>
                <w:lang w:eastAsia="en-GB"/>
              </w:rPr>
              <w:t>monitored</w:t>
            </w:r>
            <w:r w:rsidRPr="00145A07">
              <w:rPr>
                <w:rFonts w:cs="Arial"/>
                <w:lang w:eastAsia="en-GB"/>
              </w:rPr>
              <w:t xml:space="preserve">: 6-monthly project leads review meeting as part of </w:t>
            </w:r>
            <w:proofErr w:type="gramStart"/>
            <w:r w:rsidRPr="00145A07">
              <w:rPr>
                <w:rFonts w:cs="Arial"/>
                <w:lang w:eastAsia="en-GB"/>
              </w:rPr>
              <w:t>monitoring</w:t>
            </w:r>
            <w:proofErr w:type="gramEnd"/>
          </w:p>
          <w:p w14:paraId="64565665" w14:textId="4F2F3A07" w:rsidR="00A064AD" w:rsidRDefault="00A064AD" w:rsidP="00F57F94">
            <w:pPr>
              <w:pStyle w:val="ListParagraph"/>
              <w:numPr>
                <w:ilvl w:val="0"/>
                <w:numId w:val="28"/>
              </w:numPr>
              <w:rPr>
                <w:rFonts w:cs="Arial"/>
                <w:lang w:eastAsia="en-GB"/>
              </w:rPr>
            </w:pPr>
            <w:r>
              <w:rPr>
                <w:rFonts w:cs="Arial"/>
                <w:lang w:eastAsia="en-GB"/>
              </w:rPr>
              <w:t xml:space="preserve">Projects contributing significant proportion of remaining outputs being contacted spring 23 to assess potential risk/ </w:t>
            </w:r>
            <w:proofErr w:type="gramStart"/>
            <w:r>
              <w:rPr>
                <w:rFonts w:cs="Arial"/>
                <w:lang w:eastAsia="en-GB"/>
              </w:rPr>
              <w:t>mitigation</w:t>
            </w:r>
            <w:proofErr w:type="gramEnd"/>
          </w:p>
          <w:p w14:paraId="5E3CFDB4" w14:textId="78307034" w:rsidR="00F57F94" w:rsidRPr="00145A07" w:rsidRDefault="00F57F94" w:rsidP="00F57F94">
            <w:pPr>
              <w:pStyle w:val="ListParagraph"/>
              <w:numPr>
                <w:ilvl w:val="0"/>
                <w:numId w:val="28"/>
              </w:numPr>
              <w:rPr>
                <w:rFonts w:cs="Arial"/>
                <w:lang w:eastAsia="en-GB"/>
              </w:rPr>
            </w:pPr>
            <w:r>
              <w:rPr>
                <w:rFonts w:cs="Arial"/>
                <w:lang w:eastAsia="en-GB"/>
              </w:rPr>
              <w:t>Future capital funding now through local authorities</w:t>
            </w:r>
          </w:p>
          <w:p w14:paraId="00114AAB" w14:textId="09CA2242" w:rsidR="00F57F94" w:rsidRPr="00EC4509" w:rsidRDefault="00F57F94" w:rsidP="00F57F94">
            <w:pPr>
              <w:pStyle w:val="ListParagraph"/>
              <w:ind w:left="360"/>
              <w:rPr>
                <w:rFonts w:cs="Arial"/>
                <w:lang w:eastAsia="en-GB"/>
              </w:rPr>
            </w:pPr>
          </w:p>
        </w:tc>
        <w:tc>
          <w:tcPr>
            <w:tcW w:w="1784" w:type="dxa"/>
          </w:tcPr>
          <w:p w14:paraId="326A4495" w14:textId="15FC3E6B" w:rsidR="00F57F94" w:rsidRPr="00EC4509" w:rsidRDefault="003536BD" w:rsidP="00F57F94">
            <w:pPr>
              <w:rPr>
                <w:rFonts w:cs="Arial"/>
                <w:lang w:eastAsia="en-GB"/>
              </w:rPr>
            </w:pPr>
            <w:r>
              <w:rPr>
                <w:rFonts w:cs="Arial"/>
                <w:b/>
                <w:lang w:eastAsia="en-GB"/>
              </w:rPr>
              <w:lastRenderedPageBreak/>
              <w:t>OIC</w:t>
            </w:r>
          </w:p>
          <w:p w14:paraId="31D5E664" w14:textId="77777777" w:rsidR="00F57F94" w:rsidRPr="00EC4509" w:rsidRDefault="00F57F94" w:rsidP="00F57F94">
            <w:pPr>
              <w:rPr>
                <w:rFonts w:cs="Arial"/>
                <w:lang w:eastAsia="en-GB"/>
              </w:rPr>
            </w:pPr>
          </w:p>
          <w:p w14:paraId="75F45EC5" w14:textId="4D4FF49E" w:rsidR="00F57F94" w:rsidRPr="00EC4509" w:rsidRDefault="00F57F94" w:rsidP="00F57F94">
            <w:pPr>
              <w:rPr>
                <w:rFonts w:cs="Arial"/>
                <w:lang w:eastAsia="en-GB"/>
              </w:rPr>
            </w:pPr>
            <w:r w:rsidRPr="00EC4509">
              <w:rPr>
                <w:rFonts w:cs="Arial"/>
                <w:lang w:eastAsia="en-GB"/>
              </w:rPr>
              <w:lastRenderedPageBreak/>
              <w:t>Action: Management team</w:t>
            </w:r>
            <w:r>
              <w:rPr>
                <w:rFonts w:cs="Arial"/>
                <w:lang w:eastAsia="en-GB"/>
              </w:rPr>
              <w:t>/ PMO</w:t>
            </w:r>
          </w:p>
        </w:tc>
        <w:tc>
          <w:tcPr>
            <w:tcW w:w="706" w:type="dxa"/>
            <w:shd w:val="clear" w:color="auto" w:fill="00CC00"/>
          </w:tcPr>
          <w:p w14:paraId="3AE4A09B" w14:textId="0D06C660" w:rsidR="00F57F94" w:rsidRPr="00EC4509" w:rsidRDefault="00F57F94" w:rsidP="00F57F94">
            <w:pPr>
              <w:jc w:val="center"/>
              <w:rPr>
                <w:rFonts w:cs="Arial"/>
                <w:b/>
              </w:rPr>
            </w:pPr>
            <w:r>
              <w:rPr>
                <w:rFonts w:cs="Arial"/>
                <w:b/>
              </w:rPr>
              <w:lastRenderedPageBreak/>
              <w:t>L</w:t>
            </w:r>
          </w:p>
        </w:tc>
        <w:tc>
          <w:tcPr>
            <w:tcW w:w="924" w:type="dxa"/>
          </w:tcPr>
          <w:p w14:paraId="6FF229A8" w14:textId="622507B4" w:rsidR="00F57F94" w:rsidRPr="00EC4509" w:rsidRDefault="00F57F94" w:rsidP="00F57F94">
            <w:pPr>
              <w:jc w:val="center"/>
              <w:rPr>
                <w:rFonts w:cs="Arial"/>
              </w:rPr>
            </w:pPr>
            <w:r w:rsidRPr="00023021">
              <w:rPr>
                <w:rFonts w:cs="Arial"/>
                <w:b/>
              </w:rPr>
              <w:t>↔</w:t>
            </w:r>
          </w:p>
        </w:tc>
      </w:tr>
      <w:tr w:rsidR="00F57F94" w:rsidRPr="00CA74C6" w14:paraId="0662F2BB" w14:textId="77777777" w:rsidTr="00505569">
        <w:tc>
          <w:tcPr>
            <w:tcW w:w="645" w:type="dxa"/>
          </w:tcPr>
          <w:p w14:paraId="5E7D1E2F" w14:textId="3CEF02B5" w:rsidR="00F57F94" w:rsidRDefault="00F57F94" w:rsidP="00F57F94">
            <w:pPr>
              <w:rPr>
                <w:rFonts w:ascii="Arial" w:hAnsi="Arial" w:cs="Arial"/>
              </w:rPr>
            </w:pPr>
            <w:r>
              <w:rPr>
                <w:rFonts w:ascii="Arial" w:hAnsi="Arial" w:cs="Arial"/>
              </w:rPr>
              <w:t>4.2</w:t>
            </w:r>
          </w:p>
        </w:tc>
        <w:tc>
          <w:tcPr>
            <w:tcW w:w="4462" w:type="dxa"/>
          </w:tcPr>
          <w:p w14:paraId="00FBCFF0" w14:textId="6F6A2E08" w:rsidR="00F57F94" w:rsidRDefault="00F57F94" w:rsidP="00F57F94">
            <w:pPr>
              <w:rPr>
                <w:rFonts w:cs="Arial"/>
                <w:lang w:eastAsia="en-GB"/>
              </w:rPr>
            </w:pPr>
            <w:r>
              <w:rPr>
                <w:rFonts w:cs="Arial"/>
                <w:lang w:eastAsia="en-GB"/>
              </w:rPr>
              <w:t>C</w:t>
            </w:r>
            <w:r w:rsidRPr="00BD00A3">
              <w:rPr>
                <w:rFonts w:cs="Arial"/>
                <w:lang w:eastAsia="en-GB"/>
              </w:rPr>
              <w:t xml:space="preserve">ost escalation </w:t>
            </w:r>
            <w:r>
              <w:rPr>
                <w:rFonts w:cs="Arial"/>
                <w:lang w:eastAsia="en-GB"/>
              </w:rPr>
              <w:t xml:space="preserve">or delays </w:t>
            </w:r>
            <w:r w:rsidRPr="00BD00A3">
              <w:rPr>
                <w:rFonts w:cs="Arial"/>
                <w:lang w:eastAsia="en-GB"/>
              </w:rPr>
              <w:t xml:space="preserve">of projects caused by rising costs of fuel, </w:t>
            </w:r>
            <w:proofErr w:type="gramStart"/>
            <w:r w:rsidRPr="00BD00A3">
              <w:rPr>
                <w:rFonts w:cs="Arial"/>
                <w:lang w:eastAsia="en-GB"/>
              </w:rPr>
              <w:t>materials</w:t>
            </w:r>
            <w:proofErr w:type="gramEnd"/>
            <w:r w:rsidRPr="00BD00A3">
              <w:rPr>
                <w:rFonts w:cs="Arial"/>
                <w:lang w:eastAsia="en-GB"/>
              </w:rPr>
              <w:t xml:space="preserve"> and labour</w:t>
            </w:r>
            <w:r>
              <w:rPr>
                <w:rFonts w:cs="Arial"/>
                <w:lang w:eastAsia="en-GB"/>
              </w:rPr>
              <w:t xml:space="preserve"> etc could</w:t>
            </w:r>
            <w:r w:rsidRPr="00BD00A3">
              <w:rPr>
                <w:rFonts w:cs="Arial"/>
                <w:lang w:eastAsia="en-GB"/>
              </w:rPr>
              <w:t xml:space="preserve"> put individual projects and subsequently programme delivery, at risk.</w:t>
            </w:r>
          </w:p>
        </w:tc>
        <w:tc>
          <w:tcPr>
            <w:tcW w:w="792" w:type="dxa"/>
          </w:tcPr>
          <w:p w14:paraId="5764DC04" w14:textId="4EE8B2D0" w:rsidR="00F57F94" w:rsidRDefault="00F57F94" w:rsidP="00F57F94">
            <w:pPr>
              <w:jc w:val="center"/>
              <w:rPr>
                <w:rFonts w:cs="Arial"/>
                <w:lang w:eastAsia="en-GB"/>
              </w:rPr>
            </w:pPr>
            <w:r>
              <w:rPr>
                <w:rFonts w:cs="Arial"/>
                <w:lang w:eastAsia="en-GB"/>
              </w:rPr>
              <w:t>M</w:t>
            </w:r>
          </w:p>
        </w:tc>
        <w:tc>
          <w:tcPr>
            <w:tcW w:w="861" w:type="dxa"/>
          </w:tcPr>
          <w:p w14:paraId="53595746" w14:textId="579AE796" w:rsidR="00F57F94" w:rsidRDefault="00F57F94" w:rsidP="00F57F94">
            <w:pPr>
              <w:jc w:val="center"/>
              <w:rPr>
                <w:rFonts w:cs="Arial"/>
                <w:lang w:eastAsia="en-GB"/>
              </w:rPr>
            </w:pPr>
            <w:r w:rsidRPr="00BD00A3">
              <w:rPr>
                <w:rFonts w:cs="Arial"/>
                <w:lang w:eastAsia="en-GB"/>
              </w:rPr>
              <w:t>H</w:t>
            </w:r>
          </w:p>
        </w:tc>
        <w:tc>
          <w:tcPr>
            <w:tcW w:w="788" w:type="dxa"/>
            <w:shd w:val="clear" w:color="auto" w:fill="FF0000"/>
          </w:tcPr>
          <w:p w14:paraId="25760B39" w14:textId="69FC8155" w:rsidR="00F57F94" w:rsidRDefault="00F57F94" w:rsidP="00F57F94">
            <w:pPr>
              <w:jc w:val="center"/>
              <w:rPr>
                <w:rFonts w:cs="Arial"/>
                <w:b/>
                <w:lang w:eastAsia="en-GB"/>
              </w:rPr>
            </w:pPr>
            <w:r>
              <w:rPr>
                <w:rFonts w:cs="Arial"/>
                <w:b/>
                <w:lang w:eastAsia="en-GB"/>
              </w:rPr>
              <w:t>M/H</w:t>
            </w:r>
          </w:p>
        </w:tc>
        <w:tc>
          <w:tcPr>
            <w:tcW w:w="4426" w:type="dxa"/>
          </w:tcPr>
          <w:p w14:paraId="4F4B3F32" w14:textId="2E003188" w:rsidR="00F57F94" w:rsidRPr="00C419B4" w:rsidRDefault="003536BD" w:rsidP="00F57F94">
            <w:pPr>
              <w:rPr>
                <w:rFonts w:cs="Arial"/>
                <w:lang w:eastAsia="en-GB"/>
              </w:rPr>
            </w:pPr>
            <w:r>
              <w:rPr>
                <w:rFonts w:cs="Arial"/>
                <w:lang w:eastAsia="en-GB"/>
              </w:rPr>
              <w:t>OIC</w:t>
            </w:r>
            <w:r w:rsidR="00F57F94" w:rsidRPr="00C419B4">
              <w:rPr>
                <w:rFonts w:cs="Arial"/>
                <w:lang w:eastAsia="en-GB"/>
              </w:rPr>
              <w:t xml:space="preserve"> closely monitor</w:t>
            </w:r>
            <w:r w:rsidR="00F57F94">
              <w:rPr>
                <w:rFonts w:cs="Arial"/>
                <w:lang w:eastAsia="en-GB"/>
              </w:rPr>
              <w:t>s</w:t>
            </w:r>
            <w:r w:rsidR="00F57F94" w:rsidRPr="00C419B4">
              <w:rPr>
                <w:rFonts w:cs="Arial"/>
                <w:lang w:eastAsia="en-GB"/>
              </w:rPr>
              <w:t xml:space="preserve"> slippage and implement actions to put in place mechanisms to better monitor and respond to this issue. </w:t>
            </w:r>
          </w:p>
          <w:p w14:paraId="3C9947AC" w14:textId="77777777" w:rsidR="00F57F94" w:rsidRDefault="00F57F94" w:rsidP="00F57F94">
            <w:pPr>
              <w:pStyle w:val="ListParagraph"/>
              <w:ind w:left="360"/>
              <w:rPr>
                <w:rFonts w:cs="Arial"/>
                <w:lang w:eastAsia="en-GB"/>
              </w:rPr>
            </w:pPr>
          </w:p>
        </w:tc>
        <w:tc>
          <w:tcPr>
            <w:tcW w:w="1784" w:type="dxa"/>
          </w:tcPr>
          <w:p w14:paraId="14C0C1E6" w14:textId="7E4E769B" w:rsidR="00F57F94" w:rsidRPr="00BD00A3" w:rsidRDefault="003536BD" w:rsidP="00F57F94">
            <w:pPr>
              <w:rPr>
                <w:rFonts w:cs="Arial"/>
                <w:b/>
                <w:lang w:eastAsia="en-GB"/>
              </w:rPr>
            </w:pPr>
            <w:r>
              <w:rPr>
                <w:rFonts w:cs="Arial"/>
                <w:b/>
                <w:lang w:eastAsia="en-GB"/>
              </w:rPr>
              <w:t>OIC</w:t>
            </w:r>
          </w:p>
          <w:p w14:paraId="41DB488E" w14:textId="77777777" w:rsidR="00F57F94" w:rsidRPr="00BD00A3" w:rsidRDefault="00F57F94" w:rsidP="00F57F94">
            <w:pPr>
              <w:rPr>
                <w:rFonts w:cs="Arial"/>
                <w:b/>
                <w:lang w:eastAsia="en-GB"/>
              </w:rPr>
            </w:pPr>
          </w:p>
          <w:p w14:paraId="147B4BAD" w14:textId="77777777" w:rsidR="00F57F94" w:rsidRDefault="00F57F94" w:rsidP="00F57F94">
            <w:pPr>
              <w:rPr>
                <w:rFonts w:cs="Arial"/>
                <w:lang w:eastAsia="en-GB"/>
              </w:rPr>
            </w:pPr>
            <w:r w:rsidRPr="00BD00A3">
              <w:rPr>
                <w:rFonts w:cs="Arial"/>
                <w:lang w:eastAsia="en-GB"/>
              </w:rPr>
              <w:t>Action: Management Team</w:t>
            </w:r>
          </w:p>
          <w:p w14:paraId="5F5F73A4" w14:textId="77777777" w:rsidR="00F57F94" w:rsidRDefault="00F57F94" w:rsidP="00F57F94">
            <w:pPr>
              <w:rPr>
                <w:rFonts w:cs="Arial"/>
                <w:b/>
                <w:lang w:eastAsia="en-GB"/>
              </w:rPr>
            </w:pPr>
          </w:p>
        </w:tc>
        <w:tc>
          <w:tcPr>
            <w:tcW w:w="706" w:type="dxa"/>
            <w:tcBorders>
              <w:bottom w:val="single" w:sz="4" w:space="0" w:color="auto"/>
            </w:tcBorders>
            <w:shd w:val="clear" w:color="auto" w:fill="00CC00"/>
          </w:tcPr>
          <w:p w14:paraId="6BE43277" w14:textId="6A794095" w:rsidR="00F57F94" w:rsidRDefault="00F57F94" w:rsidP="00F57F94">
            <w:pPr>
              <w:jc w:val="center"/>
              <w:rPr>
                <w:rFonts w:cs="Arial"/>
                <w:b/>
              </w:rPr>
            </w:pPr>
            <w:r>
              <w:rPr>
                <w:rFonts w:cs="Arial"/>
                <w:b/>
              </w:rPr>
              <w:t>L</w:t>
            </w:r>
          </w:p>
        </w:tc>
        <w:tc>
          <w:tcPr>
            <w:tcW w:w="924" w:type="dxa"/>
          </w:tcPr>
          <w:p w14:paraId="2C7101E8" w14:textId="23CF4397" w:rsidR="00F57F94" w:rsidRPr="00023021" w:rsidRDefault="00F57F94" w:rsidP="00F57F94">
            <w:pPr>
              <w:jc w:val="center"/>
              <w:rPr>
                <w:rFonts w:cs="Arial"/>
                <w:b/>
              </w:rPr>
            </w:pPr>
            <w:r w:rsidRPr="00023021">
              <w:rPr>
                <w:rFonts w:cs="Arial"/>
                <w:b/>
              </w:rPr>
              <w:t>↔</w:t>
            </w:r>
          </w:p>
        </w:tc>
      </w:tr>
      <w:tr w:rsidR="00F57F94" w:rsidRPr="00CA74C6" w14:paraId="5AD3DD54" w14:textId="77777777" w:rsidTr="00565CB4">
        <w:tc>
          <w:tcPr>
            <w:tcW w:w="645" w:type="dxa"/>
          </w:tcPr>
          <w:p w14:paraId="7449F1C3" w14:textId="32903A91" w:rsidR="00F57F94" w:rsidRDefault="00F57F94" w:rsidP="00F57F94">
            <w:pPr>
              <w:rPr>
                <w:rFonts w:ascii="Arial" w:hAnsi="Arial" w:cs="Arial"/>
              </w:rPr>
            </w:pPr>
            <w:r>
              <w:rPr>
                <w:rFonts w:ascii="Arial" w:hAnsi="Arial" w:cs="Arial"/>
              </w:rPr>
              <w:t>4.3</w:t>
            </w:r>
          </w:p>
        </w:tc>
        <w:tc>
          <w:tcPr>
            <w:tcW w:w="4462" w:type="dxa"/>
          </w:tcPr>
          <w:p w14:paraId="731E6464" w14:textId="4A8DFCA3" w:rsidR="00F57F94" w:rsidRDefault="00F57F94" w:rsidP="00F57F94">
            <w:pPr>
              <w:rPr>
                <w:rFonts w:cs="Arial"/>
                <w:lang w:eastAsia="en-GB"/>
              </w:rPr>
            </w:pPr>
            <w:r>
              <w:rPr>
                <w:rFonts w:cs="Arial"/>
                <w:lang w:eastAsia="en-GB"/>
              </w:rPr>
              <w:t>Case law and macro planning decisions risk deliverability of projects within the LEP area. Includes:</w:t>
            </w:r>
          </w:p>
          <w:p w14:paraId="5A688D20" w14:textId="01A0AB8B" w:rsidR="00F57F94" w:rsidRPr="008130BB" w:rsidRDefault="00F57F94" w:rsidP="00F57F94">
            <w:pPr>
              <w:pStyle w:val="ListParagraph"/>
              <w:numPr>
                <w:ilvl w:val="0"/>
                <w:numId w:val="22"/>
              </w:numPr>
              <w:rPr>
                <w:rFonts w:cs="Arial"/>
                <w:lang w:eastAsia="en-GB"/>
              </w:rPr>
            </w:pPr>
            <w:r w:rsidRPr="00C84F6D">
              <w:rPr>
                <w:rFonts w:cs="Arial"/>
                <w:lang w:eastAsia="en-GB"/>
              </w:rPr>
              <w:t>EU case law on phosphates</w:t>
            </w:r>
            <w:r>
              <w:rPr>
                <w:rFonts w:cs="Arial"/>
                <w:lang w:eastAsia="en-GB"/>
              </w:rPr>
              <w:t xml:space="preserve"> (Dutch N)</w:t>
            </w:r>
            <w:r w:rsidRPr="00C84F6D">
              <w:rPr>
                <w:rFonts w:cs="Arial"/>
                <w:lang w:eastAsia="en-GB"/>
              </w:rPr>
              <w:t xml:space="preserve"> </w:t>
            </w:r>
            <w:r>
              <w:rPr>
                <w:rFonts w:cs="Arial"/>
                <w:lang w:eastAsia="en-GB"/>
              </w:rPr>
              <w:t xml:space="preserve">affects development of c11,000 homes and commercial development across the </w:t>
            </w:r>
            <w:proofErr w:type="gramStart"/>
            <w:r>
              <w:rPr>
                <w:rFonts w:cs="Arial"/>
                <w:lang w:eastAsia="en-GB"/>
              </w:rPr>
              <w:t>area:</w:t>
            </w:r>
            <w:proofErr w:type="gramEnd"/>
            <w:r>
              <w:rPr>
                <w:rFonts w:cs="Arial"/>
                <w:lang w:eastAsia="en-GB"/>
              </w:rPr>
              <w:t xml:space="preserve"> requires </w:t>
            </w:r>
            <w:r>
              <w:t>greater scrutiny of the effects of plans or projects that are likely to, either directly or indirectly, increase nutrient loads to internationally important sites</w:t>
            </w:r>
          </w:p>
          <w:p w14:paraId="53CCB662" w14:textId="12887A6C" w:rsidR="00F57F94" w:rsidRPr="008130BB" w:rsidRDefault="00F57F94" w:rsidP="00F57F94">
            <w:pPr>
              <w:pStyle w:val="ListParagraph"/>
              <w:numPr>
                <w:ilvl w:val="0"/>
                <w:numId w:val="22"/>
              </w:numPr>
              <w:rPr>
                <w:rFonts w:cs="Arial"/>
                <w:lang w:eastAsia="en-GB"/>
              </w:rPr>
            </w:pPr>
            <w:r>
              <w:rPr>
                <w:rFonts w:cs="Arial"/>
                <w:lang w:eastAsia="en-GB"/>
              </w:rPr>
              <w:t>Impact of judicial review of SoS Stonehenge/A303 decision may affect future planning outcomes</w:t>
            </w:r>
          </w:p>
        </w:tc>
        <w:tc>
          <w:tcPr>
            <w:tcW w:w="792" w:type="dxa"/>
          </w:tcPr>
          <w:p w14:paraId="6F7DA0D8" w14:textId="56ED25B4" w:rsidR="00F57F94" w:rsidRDefault="00F57F94" w:rsidP="00F57F94">
            <w:pPr>
              <w:jc w:val="center"/>
              <w:rPr>
                <w:rFonts w:cs="Arial"/>
                <w:lang w:eastAsia="en-GB"/>
              </w:rPr>
            </w:pPr>
            <w:r>
              <w:rPr>
                <w:rFonts w:cs="Arial"/>
                <w:lang w:eastAsia="en-GB"/>
              </w:rPr>
              <w:t>M</w:t>
            </w:r>
          </w:p>
        </w:tc>
        <w:tc>
          <w:tcPr>
            <w:tcW w:w="861" w:type="dxa"/>
          </w:tcPr>
          <w:p w14:paraId="4190771B" w14:textId="62CC3CBC" w:rsidR="00F57F94" w:rsidRPr="00BD00A3" w:rsidRDefault="00F57F94" w:rsidP="00F57F94">
            <w:pPr>
              <w:jc w:val="center"/>
              <w:rPr>
                <w:rFonts w:cs="Arial"/>
                <w:lang w:eastAsia="en-GB"/>
              </w:rPr>
            </w:pPr>
            <w:r>
              <w:rPr>
                <w:rFonts w:cs="Arial"/>
                <w:lang w:eastAsia="en-GB"/>
              </w:rPr>
              <w:t>M</w:t>
            </w:r>
          </w:p>
        </w:tc>
        <w:tc>
          <w:tcPr>
            <w:tcW w:w="788" w:type="dxa"/>
            <w:shd w:val="clear" w:color="auto" w:fill="FFCC00"/>
          </w:tcPr>
          <w:p w14:paraId="5E360B5E" w14:textId="5042EA0A" w:rsidR="00F57F94" w:rsidRDefault="00F57F94" w:rsidP="00F57F94">
            <w:pPr>
              <w:jc w:val="center"/>
              <w:rPr>
                <w:rFonts w:cs="Arial"/>
                <w:b/>
                <w:lang w:eastAsia="en-GB"/>
              </w:rPr>
            </w:pPr>
            <w:r>
              <w:rPr>
                <w:rFonts w:cs="Arial"/>
                <w:b/>
                <w:lang w:eastAsia="en-GB"/>
              </w:rPr>
              <w:t>M</w:t>
            </w:r>
          </w:p>
        </w:tc>
        <w:tc>
          <w:tcPr>
            <w:tcW w:w="4426" w:type="dxa"/>
          </w:tcPr>
          <w:p w14:paraId="0025867F" w14:textId="4EC857E4" w:rsidR="00F57F94" w:rsidRPr="00016879" w:rsidRDefault="00F57F94" w:rsidP="00F57F94">
            <w:pPr>
              <w:pStyle w:val="ListParagraph"/>
              <w:numPr>
                <w:ilvl w:val="0"/>
                <w:numId w:val="23"/>
              </w:numPr>
              <w:rPr>
                <w:rFonts w:ascii="Calibri" w:hAnsi="Calibri" w:cs="Calibri"/>
              </w:rPr>
            </w:pPr>
            <w:r>
              <w:rPr>
                <w:rFonts w:ascii="Calibri" w:hAnsi="Calibri" w:cs="Calibri"/>
              </w:rPr>
              <w:t xml:space="preserve">Phosphates working group convened under HEROG to set out the issue and potential mitigation. Local mitigation being </w:t>
            </w:r>
            <w:proofErr w:type="gramStart"/>
            <w:r>
              <w:rPr>
                <w:rFonts w:ascii="Calibri" w:hAnsi="Calibri" w:cs="Calibri"/>
              </w:rPr>
              <w:t>developed</w:t>
            </w:r>
            <w:proofErr w:type="gramEnd"/>
          </w:p>
          <w:p w14:paraId="349880AF" w14:textId="1602EB8C" w:rsidR="00F57F94" w:rsidRPr="008130BB" w:rsidRDefault="00F57F94" w:rsidP="00F57F94">
            <w:pPr>
              <w:pStyle w:val="ListParagraph"/>
              <w:numPr>
                <w:ilvl w:val="0"/>
                <w:numId w:val="23"/>
              </w:numPr>
              <w:rPr>
                <w:rFonts w:cs="Arial"/>
                <w:lang w:eastAsia="en-GB"/>
              </w:rPr>
            </w:pPr>
            <w:r>
              <w:rPr>
                <w:rFonts w:ascii="Calibri" w:hAnsi="Calibri" w:cs="Calibri"/>
                <w:lang w:eastAsia="en-GB"/>
              </w:rPr>
              <w:t xml:space="preserve">Heathrow decision now appears resolved but </w:t>
            </w:r>
            <w:proofErr w:type="gramStart"/>
            <w:r>
              <w:rPr>
                <w:rFonts w:ascii="Calibri" w:hAnsi="Calibri" w:cs="Calibri"/>
                <w:lang w:eastAsia="en-GB"/>
              </w:rPr>
              <w:t>monitor</w:t>
            </w:r>
            <w:proofErr w:type="gramEnd"/>
          </w:p>
          <w:p w14:paraId="09131954" w14:textId="3180DF78" w:rsidR="00F57F94" w:rsidRPr="00C84F6D" w:rsidRDefault="00F57F94" w:rsidP="00F57F94">
            <w:pPr>
              <w:pStyle w:val="ListParagraph"/>
              <w:numPr>
                <w:ilvl w:val="0"/>
                <w:numId w:val="23"/>
              </w:numPr>
              <w:rPr>
                <w:rFonts w:cs="Arial"/>
                <w:lang w:eastAsia="en-GB"/>
              </w:rPr>
            </w:pPr>
            <w:r>
              <w:rPr>
                <w:rFonts w:ascii="Calibri" w:hAnsi="Calibri" w:cs="Calibri"/>
                <w:lang w:eastAsia="en-GB"/>
              </w:rPr>
              <w:t xml:space="preserve">Continue to monitor A303 judicial review and relevant outcomes: </w:t>
            </w:r>
            <w:r>
              <w:t>SOS now plans to re-determine the application following the provision of additional information.</w:t>
            </w:r>
          </w:p>
          <w:p w14:paraId="5A5EF6B4" w14:textId="2AD673CF" w:rsidR="00F57F94" w:rsidRPr="00C84F6D" w:rsidRDefault="00F57F94" w:rsidP="00F57F94">
            <w:pPr>
              <w:pStyle w:val="ListParagraph"/>
              <w:ind w:left="360"/>
              <w:rPr>
                <w:rFonts w:cs="Arial"/>
                <w:lang w:eastAsia="en-GB"/>
              </w:rPr>
            </w:pPr>
          </w:p>
        </w:tc>
        <w:tc>
          <w:tcPr>
            <w:tcW w:w="1784" w:type="dxa"/>
          </w:tcPr>
          <w:p w14:paraId="2339CE33" w14:textId="31540E32" w:rsidR="00F57F94" w:rsidRDefault="003536BD" w:rsidP="00F57F94">
            <w:pPr>
              <w:rPr>
                <w:rFonts w:cs="Arial"/>
                <w:b/>
                <w:lang w:eastAsia="en-GB"/>
              </w:rPr>
            </w:pPr>
            <w:r>
              <w:rPr>
                <w:rFonts w:cs="Arial"/>
                <w:b/>
                <w:lang w:eastAsia="en-GB"/>
              </w:rPr>
              <w:t>OIC</w:t>
            </w:r>
          </w:p>
          <w:p w14:paraId="02B0F7B9" w14:textId="77777777" w:rsidR="00F57F94" w:rsidRDefault="00F57F94" w:rsidP="00F57F94">
            <w:pPr>
              <w:rPr>
                <w:rFonts w:cs="Arial"/>
                <w:b/>
                <w:lang w:eastAsia="en-GB"/>
              </w:rPr>
            </w:pPr>
          </w:p>
          <w:p w14:paraId="082B4444" w14:textId="252E64A9" w:rsidR="00F57F94" w:rsidRPr="009D2108" w:rsidRDefault="00F57F94" w:rsidP="00F57F94">
            <w:pPr>
              <w:rPr>
                <w:rFonts w:cs="Arial"/>
                <w:bCs/>
                <w:lang w:eastAsia="en-GB"/>
              </w:rPr>
            </w:pPr>
            <w:r w:rsidRPr="009D2108">
              <w:rPr>
                <w:rFonts w:cs="Arial"/>
                <w:bCs/>
                <w:lang w:eastAsia="en-GB"/>
              </w:rPr>
              <w:t>Action: COO</w:t>
            </w:r>
            <w:r>
              <w:rPr>
                <w:rFonts w:cs="Arial"/>
                <w:bCs/>
                <w:lang w:eastAsia="en-GB"/>
              </w:rPr>
              <w:t>/ Place</w:t>
            </w:r>
          </w:p>
        </w:tc>
        <w:tc>
          <w:tcPr>
            <w:tcW w:w="706" w:type="dxa"/>
            <w:tcBorders>
              <w:bottom w:val="nil"/>
            </w:tcBorders>
            <w:shd w:val="clear" w:color="auto" w:fill="FFCC00"/>
          </w:tcPr>
          <w:p w14:paraId="7EE69541" w14:textId="2DED8EFA" w:rsidR="00F57F94" w:rsidRDefault="00F57F94" w:rsidP="00F57F94">
            <w:pPr>
              <w:jc w:val="center"/>
              <w:rPr>
                <w:rFonts w:cs="Arial"/>
                <w:b/>
              </w:rPr>
            </w:pPr>
            <w:r>
              <w:rPr>
                <w:rFonts w:cs="Arial"/>
                <w:b/>
              </w:rPr>
              <w:t>M</w:t>
            </w:r>
          </w:p>
        </w:tc>
        <w:tc>
          <w:tcPr>
            <w:tcW w:w="924" w:type="dxa"/>
          </w:tcPr>
          <w:p w14:paraId="6EF8D36D" w14:textId="04032393" w:rsidR="00F57F94" w:rsidRPr="00023021" w:rsidRDefault="00F57F94" w:rsidP="00F57F94">
            <w:pPr>
              <w:jc w:val="center"/>
              <w:rPr>
                <w:rFonts w:cs="Arial"/>
                <w:b/>
              </w:rPr>
            </w:pPr>
            <w:r w:rsidRPr="00023021">
              <w:rPr>
                <w:rFonts w:cs="Arial"/>
                <w:b/>
              </w:rPr>
              <w:t>↔</w:t>
            </w:r>
          </w:p>
        </w:tc>
      </w:tr>
      <w:tr w:rsidR="00F57F94" w:rsidRPr="00CA74C6" w14:paraId="7AA3237B" w14:textId="77777777" w:rsidTr="00565CB4">
        <w:tc>
          <w:tcPr>
            <w:tcW w:w="645" w:type="dxa"/>
          </w:tcPr>
          <w:p w14:paraId="746F42CD" w14:textId="0DDD1A70" w:rsidR="00F57F94" w:rsidRDefault="00F57F94" w:rsidP="00F57F94">
            <w:pPr>
              <w:rPr>
                <w:rFonts w:ascii="Arial" w:hAnsi="Arial" w:cs="Arial"/>
              </w:rPr>
            </w:pPr>
            <w:r>
              <w:rPr>
                <w:rFonts w:ascii="Arial" w:hAnsi="Arial" w:cs="Arial"/>
              </w:rPr>
              <w:t>4.4</w:t>
            </w:r>
          </w:p>
        </w:tc>
        <w:tc>
          <w:tcPr>
            <w:tcW w:w="4462" w:type="dxa"/>
          </w:tcPr>
          <w:p w14:paraId="537C2804" w14:textId="77777777" w:rsidR="00F57F94" w:rsidRDefault="00F57F94" w:rsidP="00F57F94">
            <w:pPr>
              <w:rPr>
                <w:rFonts w:cs="Arial"/>
                <w:lang w:eastAsia="en-GB"/>
              </w:rPr>
            </w:pPr>
            <w:r>
              <w:rPr>
                <w:rFonts w:cs="Arial"/>
                <w:lang w:eastAsia="en-GB"/>
              </w:rPr>
              <w:t>Covid-19 may</w:t>
            </w:r>
          </w:p>
          <w:p w14:paraId="7B67A16B" w14:textId="77777777" w:rsidR="00F57F94" w:rsidRDefault="00F57F94" w:rsidP="00F57F94">
            <w:pPr>
              <w:pStyle w:val="ListParagraph"/>
              <w:numPr>
                <w:ilvl w:val="0"/>
                <w:numId w:val="17"/>
              </w:numPr>
              <w:rPr>
                <w:rFonts w:cs="Arial"/>
                <w:lang w:eastAsia="en-GB"/>
              </w:rPr>
            </w:pPr>
            <w:r w:rsidRPr="006A29CC">
              <w:rPr>
                <w:rFonts w:cs="Arial"/>
                <w:lang w:eastAsia="en-GB"/>
              </w:rPr>
              <w:t>result in delays to projects and programme delivery</w:t>
            </w:r>
          </w:p>
          <w:p w14:paraId="6090CD44" w14:textId="56A10C74" w:rsidR="00F57F94" w:rsidRPr="006A29CC" w:rsidRDefault="00F57F94" w:rsidP="00F57F94">
            <w:pPr>
              <w:pStyle w:val="ListParagraph"/>
              <w:numPr>
                <w:ilvl w:val="0"/>
                <w:numId w:val="17"/>
              </w:numPr>
              <w:rPr>
                <w:rFonts w:cs="Arial"/>
                <w:lang w:eastAsia="en-GB"/>
              </w:rPr>
            </w:pPr>
            <w:r w:rsidRPr="006A29CC">
              <w:rPr>
                <w:rFonts w:cs="Arial"/>
                <w:lang w:eastAsia="en-GB"/>
              </w:rPr>
              <w:lastRenderedPageBreak/>
              <w:t xml:space="preserve">significantly reduce partners’ appetite and ability to co-invest in work which is essential to the </w:t>
            </w:r>
            <w:proofErr w:type="gramStart"/>
            <w:r w:rsidRPr="006A29CC">
              <w:rPr>
                <w:rFonts w:cs="Arial"/>
                <w:lang w:eastAsia="en-GB"/>
              </w:rPr>
              <w:t>longer term</w:t>
            </w:r>
            <w:proofErr w:type="gramEnd"/>
            <w:r w:rsidRPr="006A29CC">
              <w:rPr>
                <w:rFonts w:cs="Arial"/>
                <w:lang w:eastAsia="en-GB"/>
              </w:rPr>
              <w:t xml:space="preserve"> growth prospects of the area</w:t>
            </w:r>
          </w:p>
          <w:p w14:paraId="6B62990C" w14:textId="3726A4E6" w:rsidR="00F57F94" w:rsidRDefault="00F57F94" w:rsidP="00F57F94">
            <w:pPr>
              <w:rPr>
                <w:rFonts w:cs="Arial"/>
                <w:lang w:eastAsia="en-GB"/>
              </w:rPr>
            </w:pPr>
          </w:p>
        </w:tc>
        <w:tc>
          <w:tcPr>
            <w:tcW w:w="792" w:type="dxa"/>
          </w:tcPr>
          <w:p w14:paraId="409654D3" w14:textId="5EFF4FAF" w:rsidR="00F57F94" w:rsidRDefault="00F57F94" w:rsidP="00F57F94">
            <w:pPr>
              <w:jc w:val="center"/>
              <w:rPr>
                <w:rFonts w:cs="Arial"/>
                <w:lang w:eastAsia="en-GB"/>
              </w:rPr>
            </w:pPr>
            <w:r>
              <w:rPr>
                <w:rFonts w:cs="Arial"/>
                <w:lang w:eastAsia="en-GB"/>
              </w:rPr>
              <w:lastRenderedPageBreak/>
              <w:t>M</w:t>
            </w:r>
          </w:p>
        </w:tc>
        <w:tc>
          <w:tcPr>
            <w:tcW w:w="861" w:type="dxa"/>
          </w:tcPr>
          <w:p w14:paraId="6240F90B" w14:textId="03A0D46E" w:rsidR="00F57F94" w:rsidRDefault="00F57F94" w:rsidP="00F57F94">
            <w:pPr>
              <w:jc w:val="center"/>
              <w:rPr>
                <w:rFonts w:cs="Arial"/>
                <w:lang w:eastAsia="en-GB"/>
              </w:rPr>
            </w:pPr>
            <w:r>
              <w:rPr>
                <w:rFonts w:cs="Arial"/>
                <w:lang w:eastAsia="en-GB"/>
              </w:rPr>
              <w:t>H</w:t>
            </w:r>
          </w:p>
        </w:tc>
        <w:tc>
          <w:tcPr>
            <w:tcW w:w="788" w:type="dxa"/>
            <w:shd w:val="clear" w:color="auto" w:fill="FF0000"/>
          </w:tcPr>
          <w:p w14:paraId="719F0564" w14:textId="2CF28E3E" w:rsidR="00F57F94" w:rsidRDefault="00F57F94" w:rsidP="00F57F94">
            <w:pPr>
              <w:jc w:val="center"/>
              <w:rPr>
                <w:rFonts w:cs="Arial"/>
                <w:b/>
                <w:lang w:eastAsia="en-GB"/>
              </w:rPr>
            </w:pPr>
            <w:r>
              <w:rPr>
                <w:rFonts w:cs="Arial"/>
                <w:b/>
                <w:lang w:eastAsia="en-GB"/>
              </w:rPr>
              <w:t>M/H</w:t>
            </w:r>
          </w:p>
        </w:tc>
        <w:tc>
          <w:tcPr>
            <w:tcW w:w="4426" w:type="dxa"/>
          </w:tcPr>
          <w:p w14:paraId="32EA529A" w14:textId="69DF1392" w:rsidR="00F57F94" w:rsidRPr="006A29CC" w:rsidRDefault="00F57F94" w:rsidP="00F57F94">
            <w:pPr>
              <w:pStyle w:val="ListParagraph"/>
              <w:numPr>
                <w:ilvl w:val="0"/>
                <w:numId w:val="16"/>
              </w:numPr>
              <w:rPr>
                <w:rFonts w:cs="Arial"/>
                <w:lang w:eastAsia="en-GB"/>
              </w:rPr>
            </w:pPr>
            <w:r w:rsidRPr="006A29CC">
              <w:rPr>
                <w:rFonts w:cs="Arial"/>
                <w:lang w:eastAsia="en-GB"/>
              </w:rPr>
              <w:t xml:space="preserve">Impact on current portfolio to be managed through </w:t>
            </w:r>
            <w:r w:rsidR="003536BD">
              <w:rPr>
                <w:rFonts w:cs="Arial"/>
                <w:lang w:eastAsia="en-GB"/>
              </w:rPr>
              <w:t>OIC</w:t>
            </w:r>
            <w:r w:rsidR="001B3889">
              <w:rPr>
                <w:rFonts w:cs="Arial"/>
                <w:lang w:eastAsia="en-GB"/>
              </w:rPr>
              <w:t xml:space="preserve"> </w:t>
            </w:r>
            <w:r>
              <w:rPr>
                <w:rFonts w:cs="Arial"/>
                <w:lang w:eastAsia="en-GB"/>
              </w:rPr>
              <w:t xml:space="preserve">– see </w:t>
            </w:r>
            <w:proofErr w:type="gramStart"/>
            <w:r>
              <w:rPr>
                <w:rFonts w:cs="Arial"/>
                <w:lang w:eastAsia="en-GB"/>
              </w:rPr>
              <w:t>4.1</w:t>
            </w:r>
            <w:proofErr w:type="gramEnd"/>
          </w:p>
          <w:p w14:paraId="557EEFED" w14:textId="77777777" w:rsidR="00F57F94" w:rsidRDefault="00F57F94" w:rsidP="00F57F94">
            <w:pPr>
              <w:pStyle w:val="ListParagraph"/>
              <w:numPr>
                <w:ilvl w:val="0"/>
                <w:numId w:val="16"/>
              </w:numPr>
              <w:rPr>
                <w:rFonts w:cs="Arial"/>
                <w:lang w:eastAsia="en-GB"/>
              </w:rPr>
            </w:pPr>
            <w:r w:rsidRPr="006A29CC">
              <w:rPr>
                <w:rFonts w:cs="Arial"/>
                <w:lang w:eastAsia="en-GB"/>
              </w:rPr>
              <w:lastRenderedPageBreak/>
              <w:t>LEP part of resilience and opportunities forum</w:t>
            </w:r>
            <w:r>
              <w:rPr>
                <w:rFonts w:cs="Arial"/>
                <w:lang w:eastAsia="en-GB"/>
              </w:rPr>
              <w:t xml:space="preserve"> – monitor impact on longer term work and work with partners and Government as </w:t>
            </w:r>
            <w:proofErr w:type="gramStart"/>
            <w:r>
              <w:rPr>
                <w:rFonts w:cs="Arial"/>
                <w:lang w:eastAsia="en-GB"/>
              </w:rPr>
              <w:t>needed</w:t>
            </w:r>
            <w:proofErr w:type="gramEnd"/>
          </w:p>
          <w:p w14:paraId="1D496391" w14:textId="1ABA1D8F" w:rsidR="00F57F94" w:rsidRDefault="00F57F94" w:rsidP="00F57F94">
            <w:pPr>
              <w:pStyle w:val="ListParagraph"/>
              <w:numPr>
                <w:ilvl w:val="0"/>
                <w:numId w:val="16"/>
              </w:numPr>
              <w:rPr>
                <w:rFonts w:cs="Arial"/>
                <w:lang w:eastAsia="en-GB"/>
              </w:rPr>
            </w:pPr>
            <w:r>
              <w:rPr>
                <w:rFonts w:cs="Arial"/>
                <w:lang w:eastAsia="en-GB"/>
              </w:rPr>
              <w:t xml:space="preserve">Build Back Better offers a strong recovery </w:t>
            </w:r>
            <w:proofErr w:type="gramStart"/>
            <w:r>
              <w:rPr>
                <w:rFonts w:cs="Arial"/>
                <w:lang w:eastAsia="en-GB"/>
              </w:rPr>
              <w:t>plan</w:t>
            </w:r>
            <w:proofErr w:type="gramEnd"/>
          </w:p>
          <w:p w14:paraId="7C9ECAD4" w14:textId="77309176" w:rsidR="00F57F94" w:rsidRPr="006A29CC" w:rsidRDefault="00F57F94" w:rsidP="00F57F94">
            <w:pPr>
              <w:pStyle w:val="ListParagraph"/>
              <w:ind w:left="360"/>
              <w:rPr>
                <w:rFonts w:cs="Arial"/>
                <w:lang w:eastAsia="en-GB"/>
              </w:rPr>
            </w:pPr>
          </w:p>
        </w:tc>
        <w:tc>
          <w:tcPr>
            <w:tcW w:w="1784" w:type="dxa"/>
          </w:tcPr>
          <w:p w14:paraId="0EC269B5" w14:textId="7DFF7DB3" w:rsidR="00F57F94" w:rsidRDefault="003536BD" w:rsidP="00F57F94">
            <w:pPr>
              <w:rPr>
                <w:rFonts w:cs="Arial"/>
                <w:b/>
                <w:lang w:eastAsia="en-GB"/>
              </w:rPr>
            </w:pPr>
            <w:r>
              <w:rPr>
                <w:rFonts w:cs="Arial"/>
                <w:b/>
                <w:lang w:eastAsia="en-GB"/>
              </w:rPr>
              <w:lastRenderedPageBreak/>
              <w:t>OIC</w:t>
            </w:r>
          </w:p>
          <w:p w14:paraId="559E9166" w14:textId="77777777" w:rsidR="00F57F94" w:rsidRPr="006A29CC" w:rsidRDefault="00F57F94" w:rsidP="00F57F94">
            <w:pPr>
              <w:rPr>
                <w:rFonts w:cs="Arial"/>
                <w:bCs/>
                <w:lang w:eastAsia="en-GB"/>
              </w:rPr>
            </w:pPr>
          </w:p>
          <w:p w14:paraId="72D830CE" w14:textId="72117C08" w:rsidR="00F57F94" w:rsidRDefault="00F57F94" w:rsidP="00F57F94">
            <w:pPr>
              <w:rPr>
                <w:rFonts w:cs="Arial"/>
                <w:b/>
                <w:lang w:eastAsia="en-GB"/>
              </w:rPr>
            </w:pPr>
            <w:r w:rsidRPr="006A29CC">
              <w:rPr>
                <w:rFonts w:cs="Arial"/>
                <w:bCs/>
                <w:lang w:eastAsia="en-GB"/>
              </w:rPr>
              <w:t>Action: CEX</w:t>
            </w:r>
          </w:p>
        </w:tc>
        <w:tc>
          <w:tcPr>
            <w:tcW w:w="706" w:type="dxa"/>
            <w:tcBorders>
              <w:bottom w:val="nil"/>
            </w:tcBorders>
            <w:shd w:val="clear" w:color="auto" w:fill="FFCC00"/>
          </w:tcPr>
          <w:p w14:paraId="6AD55089" w14:textId="07AFFFE2" w:rsidR="00F57F94" w:rsidRDefault="00F57F94" w:rsidP="00F57F94">
            <w:pPr>
              <w:jc w:val="center"/>
              <w:rPr>
                <w:rFonts w:cs="Arial"/>
                <w:b/>
              </w:rPr>
            </w:pPr>
            <w:r>
              <w:rPr>
                <w:rFonts w:cs="Arial"/>
                <w:b/>
              </w:rPr>
              <w:t>M</w:t>
            </w:r>
          </w:p>
        </w:tc>
        <w:tc>
          <w:tcPr>
            <w:tcW w:w="924" w:type="dxa"/>
          </w:tcPr>
          <w:p w14:paraId="147F81CC" w14:textId="0CC04192" w:rsidR="00F57F94" w:rsidRPr="00023021" w:rsidRDefault="00F57F94" w:rsidP="00F57F94">
            <w:pPr>
              <w:jc w:val="center"/>
              <w:rPr>
                <w:rFonts w:cs="Arial"/>
                <w:b/>
              </w:rPr>
            </w:pPr>
            <w:r w:rsidRPr="00023021">
              <w:rPr>
                <w:rFonts w:cs="Arial"/>
                <w:b/>
              </w:rPr>
              <w:t>↔</w:t>
            </w:r>
          </w:p>
        </w:tc>
      </w:tr>
      <w:tr w:rsidR="00F57F94" w:rsidRPr="00CA74C6" w14:paraId="2BD3CABE" w14:textId="77777777" w:rsidTr="00565CB4">
        <w:tc>
          <w:tcPr>
            <w:tcW w:w="645" w:type="dxa"/>
          </w:tcPr>
          <w:p w14:paraId="1941BDE5" w14:textId="5A2A90DC" w:rsidR="00F57F94" w:rsidRDefault="00F57F94" w:rsidP="00F57F94">
            <w:pPr>
              <w:rPr>
                <w:rFonts w:ascii="Arial" w:hAnsi="Arial" w:cs="Arial"/>
              </w:rPr>
            </w:pPr>
            <w:r>
              <w:rPr>
                <w:rFonts w:ascii="Arial" w:hAnsi="Arial" w:cs="Arial"/>
              </w:rPr>
              <w:t>4.5</w:t>
            </w:r>
          </w:p>
        </w:tc>
        <w:tc>
          <w:tcPr>
            <w:tcW w:w="4462" w:type="dxa"/>
          </w:tcPr>
          <w:p w14:paraId="0D676DCC" w14:textId="77777777" w:rsidR="00F57F94" w:rsidRDefault="00F57F94" w:rsidP="00F57F94">
            <w:pPr>
              <w:rPr>
                <w:rFonts w:cs="Arial"/>
                <w:lang w:eastAsia="en-GB"/>
              </w:rPr>
            </w:pPr>
            <w:r>
              <w:rPr>
                <w:rFonts w:cs="Arial"/>
                <w:lang w:eastAsia="en-GB"/>
              </w:rPr>
              <w:t>UKSPF design may lead to</w:t>
            </w:r>
          </w:p>
          <w:p w14:paraId="3EFEE26D" w14:textId="77777777" w:rsidR="00F57F94" w:rsidRDefault="00F57F94" w:rsidP="00F57F94">
            <w:pPr>
              <w:pStyle w:val="ListParagraph"/>
              <w:numPr>
                <w:ilvl w:val="0"/>
                <w:numId w:val="11"/>
              </w:numPr>
              <w:rPr>
                <w:rFonts w:cs="Arial"/>
                <w:lang w:eastAsia="en-GB"/>
              </w:rPr>
            </w:pPr>
            <w:r>
              <w:rPr>
                <w:rFonts w:cs="Arial"/>
                <w:lang w:eastAsia="en-GB"/>
              </w:rPr>
              <w:t xml:space="preserve">Challenges in developing effective interventions at the appropriate </w:t>
            </w:r>
            <w:proofErr w:type="gramStart"/>
            <w:r>
              <w:rPr>
                <w:rFonts w:cs="Arial"/>
                <w:lang w:eastAsia="en-GB"/>
              </w:rPr>
              <w:t>scale</w:t>
            </w:r>
            <w:proofErr w:type="gramEnd"/>
          </w:p>
          <w:p w14:paraId="3018E3C5" w14:textId="77777777" w:rsidR="00F57F94" w:rsidRDefault="00F57F94" w:rsidP="00F57F94">
            <w:pPr>
              <w:pStyle w:val="ListParagraph"/>
              <w:numPr>
                <w:ilvl w:val="0"/>
                <w:numId w:val="11"/>
              </w:numPr>
              <w:rPr>
                <w:rFonts w:cs="Arial"/>
                <w:lang w:eastAsia="en-GB"/>
              </w:rPr>
            </w:pPr>
            <w:r>
              <w:rPr>
                <w:rFonts w:cs="Arial"/>
                <w:lang w:eastAsia="en-GB"/>
              </w:rPr>
              <w:t xml:space="preserve">Timing of funding availability &amp; linking to emerging devo deals may lead to delays in availability of funds which could lead to gaps in </w:t>
            </w:r>
            <w:proofErr w:type="gramStart"/>
            <w:r>
              <w:rPr>
                <w:rFonts w:cs="Arial"/>
                <w:lang w:eastAsia="en-GB"/>
              </w:rPr>
              <w:t>provision</w:t>
            </w:r>
            <w:proofErr w:type="gramEnd"/>
          </w:p>
          <w:p w14:paraId="0A1EC340" w14:textId="67C29D49" w:rsidR="00F57F94" w:rsidRPr="008B41E7" w:rsidRDefault="00F57F94" w:rsidP="00F57F94">
            <w:pPr>
              <w:rPr>
                <w:rFonts w:cs="Arial"/>
                <w:lang w:eastAsia="en-GB"/>
              </w:rPr>
            </w:pPr>
          </w:p>
        </w:tc>
        <w:tc>
          <w:tcPr>
            <w:tcW w:w="792" w:type="dxa"/>
          </w:tcPr>
          <w:p w14:paraId="5935258C" w14:textId="2AEAFAE3" w:rsidR="00F57F94" w:rsidRDefault="00F57F94" w:rsidP="00F57F94">
            <w:pPr>
              <w:jc w:val="center"/>
              <w:rPr>
                <w:rFonts w:cs="Arial"/>
                <w:lang w:eastAsia="en-GB"/>
              </w:rPr>
            </w:pPr>
            <w:r>
              <w:rPr>
                <w:rFonts w:cs="Arial"/>
                <w:lang w:eastAsia="en-GB"/>
              </w:rPr>
              <w:t>M</w:t>
            </w:r>
          </w:p>
        </w:tc>
        <w:tc>
          <w:tcPr>
            <w:tcW w:w="861" w:type="dxa"/>
          </w:tcPr>
          <w:p w14:paraId="66EE47A5" w14:textId="78EA731C" w:rsidR="00F57F94" w:rsidRDefault="00F57F94" w:rsidP="00F57F94">
            <w:pPr>
              <w:jc w:val="center"/>
              <w:rPr>
                <w:rFonts w:cs="Arial"/>
                <w:lang w:eastAsia="en-GB"/>
              </w:rPr>
            </w:pPr>
            <w:r>
              <w:rPr>
                <w:rFonts w:cs="Arial"/>
                <w:lang w:eastAsia="en-GB"/>
              </w:rPr>
              <w:t>H</w:t>
            </w:r>
          </w:p>
        </w:tc>
        <w:tc>
          <w:tcPr>
            <w:tcW w:w="788" w:type="dxa"/>
            <w:shd w:val="clear" w:color="auto" w:fill="FF0000"/>
          </w:tcPr>
          <w:p w14:paraId="5E3F7256" w14:textId="736F2544" w:rsidR="00F57F94" w:rsidRDefault="00F57F94" w:rsidP="00F57F94">
            <w:pPr>
              <w:jc w:val="center"/>
              <w:rPr>
                <w:rFonts w:cs="Arial"/>
                <w:b/>
                <w:lang w:eastAsia="en-GB"/>
              </w:rPr>
            </w:pPr>
            <w:r>
              <w:rPr>
                <w:rFonts w:cs="Arial"/>
                <w:b/>
              </w:rPr>
              <w:t>M/H</w:t>
            </w:r>
          </w:p>
        </w:tc>
        <w:tc>
          <w:tcPr>
            <w:tcW w:w="4426" w:type="dxa"/>
          </w:tcPr>
          <w:p w14:paraId="43122E93" w14:textId="4506D0CC" w:rsidR="00F57F94" w:rsidRPr="006A29CC" w:rsidRDefault="00F57F94" w:rsidP="00F57F94">
            <w:pPr>
              <w:pStyle w:val="ListParagraph"/>
              <w:numPr>
                <w:ilvl w:val="0"/>
                <w:numId w:val="16"/>
              </w:numPr>
              <w:rPr>
                <w:rFonts w:cs="Arial"/>
                <w:lang w:eastAsia="en-GB"/>
              </w:rPr>
            </w:pPr>
            <w:r>
              <w:rPr>
                <w:rFonts w:cs="Arial"/>
                <w:lang w:eastAsia="en-GB"/>
              </w:rPr>
              <w:t xml:space="preserve">LEP </w:t>
            </w:r>
            <w:r w:rsidR="001B3889">
              <w:rPr>
                <w:rFonts w:cs="Arial"/>
                <w:lang w:eastAsia="en-GB"/>
              </w:rPr>
              <w:t>monitoring</w:t>
            </w:r>
            <w:r>
              <w:rPr>
                <w:rFonts w:cs="Arial"/>
                <w:lang w:eastAsia="en-GB"/>
              </w:rPr>
              <w:t xml:space="preserve"> development of UKSPF investment plans and identify ways to address the issue</w:t>
            </w:r>
          </w:p>
        </w:tc>
        <w:tc>
          <w:tcPr>
            <w:tcW w:w="1784" w:type="dxa"/>
          </w:tcPr>
          <w:p w14:paraId="7C759437" w14:textId="7A5586F1" w:rsidR="00F57F94" w:rsidRDefault="003536BD" w:rsidP="00F57F94">
            <w:pPr>
              <w:rPr>
                <w:rFonts w:cs="Arial"/>
                <w:b/>
                <w:lang w:eastAsia="en-GB"/>
              </w:rPr>
            </w:pPr>
            <w:r>
              <w:rPr>
                <w:rFonts w:cs="Arial"/>
                <w:b/>
                <w:lang w:eastAsia="en-GB"/>
              </w:rPr>
              <w:t>OIC</w:t>
            </w:r>
          </w:p>
          <w:p w14:paraId="45C408ED" w14:textId="77777777" w:rsidR="00F57F94" w:rsidRPr="006A29CC" w:rsidRDefault="00F57F94" w:rsidP="00F57F94">
            <w:pPr>
              <w:rPr>
                <w:rFonts w:cs="Arial"/>
                <w:bCs/>
                <w:lang w:eastAsia="en-GB"/>
              </w:rPr>
            </w:pPr>
          </w:p>
          <w:p w14:paraId="2B91955F" w14:textId="0C974B2F" w:rsidR="00F57F94" w:rsidRDefault="00F57F94" w:rsidP="00F57F94">
            <w:pPr>
              <w:rPr>
                <w:rFonts w:cs="Arial"/>
                <w:b/>
                <w:lang w:eastAsia="en-GB"/>
              </w:rPr>
            </w:pPr>
            <w:r w:rsidRPr="006A29CC">
              <w:rPr>
                <w:rFonts w:cs="Arial"/>
                <w:bCs/>
                <w:lang w:eastAsia="en-GB"/>
              </w:rPr>
              <w:t>Action: CEX</w:t>
            </w:r>
          </w:p>
        </w:tc>
        <w:tc>
          <w:tcPr>
            <w:tcW w:w="706" w:type="dxa"/>
            <w:tcBorders>
              <w:bottom w:val="nil"/>
            </w:tcBorders>
            <w:shd w:val="clear" w:color="auto" w:fill="FFCC00"/>
          </w:tcPr>
          <w:p w14:paraId="0B1C1A6F" w14:textId="5D718B49" w:rsidR="00F57F94" w:rsidRDefault="00F57F94" w:rsidP="00F57F94">
            <w:pPr>
              <w:jc w:val="center"/>
              <w:rPr>
                <w:rFonts w:cs="Arial"/>
                <w:b/>
              </w:rPr>
            </w:pPr>
            <w:r>
              <w:rPr>
                <w:rFonts w:cs="Arial"/>
                <w:b/>
              </w:rPr>
              <w:t>M</w:t>
            </w:r>
          </w:p>
        </w:tc>
        <w:tc>
          <w:tcPr>
            <w:tcW w:w="924" w:type="dxa"/>
          </w:tcPr>
          <w:p w14:paraId="502EBB49" w14:textId="77777777" w:rsidR="00F57F94" w:rsidRPr="00023021" w:rsidRDefault="00F57F94" w:rsidP="00F57F94">
            <w:pPr>
              <w:jc w:val="center"/>
              <w:rPr>
                <w:rFonts w:cs="Arial"/>
                <w:b/>
              </w:rPr>
            </w:pPr>
          </w:p>
        </w:tc>
      </w:tr>
      <w:tr w:rsidR="00F57F94" w:rsidRPr="00CA74C6" w14:paraId="72936776" w14:textId="77777777" w:rsidTr="003C2665">
        <w:tc>
          <w:tcPr>
            <w:tcW w:w="645" w:type="dxa"/>
            <w:shd w:val="clear" w:color="auto" w:fill="E2EFD9" w:themeFill="accent6" w:themeFillTint="33"/>
          </w:tcPr>
          <w:p w14:paraId="53E37D2E" w14:textId="77777777" w:rsidR="00F57F94" w:rsidRPr="00CA74C6" w:rsidRDefault="00F57F94" w:rsidP="00F57F94">
            <w:pPr>
              <w:rPr>
                <w:rFonts w:ascii="Arial" w:hAnsi="Arial" w:cs="Arial"/>
                <w:b/>
              </w:rPr>
            </w:pPr>
            <w:r w:rsidRPr="00CA74C6">
              <w:rPr>
                <w:rFonts w:ascii="Arial" w:hAnsi="Arial" w:cs="Arial"/>
                <w:b/>
              </w:rPr>
              <w:t>5</w:t>
            </w:r>
          </w:p>
        </w:tc>
        <w:tc>
          <w:tcPr>
            <w:tcW w:w="14743" w:type="dxa"/>
            <w:gridSpan w:val="8"/>
            <w:shd w:val="clear" w:color="auto" w:fill="E2EFD9" w:themeFill="accent6" w:themeFillTint="33"/>
          </w:tcPr>
          <w:p w14:paraId="59462201" w14:textId="77777777" w:rsidR="00F57F94" w:rsidRPr="00CA74C6" w:rsidRDefault="00F57F94" w:rsidP="00F57F94">
            <w:pPr>
              <w:rPr>
                <w:rFonts w:ascii="Arial" w:hAnsi="Arial" w:cs="Arial"/>
                <w:b/>
              </w:rPr>
            </w:pPr>
            <w:r w:rsidRPr="00CA74C6">
              <w:rPr>
                <w:rFonts w:ascii="Arial" w:hAnsi="Arial" w:cs="Arial"/>
                <w:b/>
              </w:rPr>
              <w:t>REGULATORY / LEGAL / COMPLIANCE</w:t>
            </w:r>
          </w:p>
        </w:tc>
      </w:tr>
      <w:tr w:rsidR="00F57F94" w:rsidRPr="00CA74C6" w14:paraId="35BF2B0E" w14:textId="77777777" w:rsidTr="00565CB4">
        <w:tc>
          <w:tcPr>
            <w:tcW w:w="645" w:type="dxa"/>
          </w:tcPr>
          <w:p w14:paraId="1BF517AD" w14:textId="77777777" w:rsidR="00F57F94" w:rsidRPr="00CA74C6" w:rsidRDefault="00F57F94" w:rsidP="00F57F94">
            <w:pPr>
              <w:rPr>
                <w:rFonts w:ascii="Arial" w:hAnsi="Arial" w:cs="Arial"/>
              </w:rPr>
            </w:pPr>
            <w:r>
              <w:rPr>
                <w:rFonts w:ascii="Arial" w:hAnsi="Arial" w:cs="Arial"/>
              </w:rPr>
              <w:t>5.1</w:t>
            </w:r>
          </w:p>
        </w:tc>
        <w:tc>
          <w:tcPr>
            <w:tcW w:w="4462" w:type="dxa"/>
          </w:tcPr>
          <w:p w14:paraId="690DA534" w14:textId="4C4E08AF" w:rsidR="00F57F94" w:rsidRDefault="00F57F94" w:rsidP="00F57F94">
            <w:pPr>
              <w:rPr>
                <w:rFonts w:cs="Arial"/>
                <w:lang w:eastAsia="en-GB"/>
              </w:rPr>
            </w:pPr>
            <w:r w:rsidRPr="003F1D43">
              <w:rPr>
                <w:rFonts w:cs="Arial"/>
                <w:lang w:eastAsia="en-GB"/>
              </w:rPr>
              <w:t>Failure to implement appropriate corporate governance (including conflict of interest protocols) results in</w:t>
            </w:r>
            <w:r>
              <w:rPr>
                <w:rFonts w:cs="Arial"/>
                <w:lang w:eastAsia="en-GB"/>
              </w:rPr>
              <w:t xml:space="preserve"> significant reputational damage to the LEP,</w:t>
            </w:r>
            <w:r w:rsidRPr="003F1D43">
              <w:rPr>
                <w:rFonts w:cs="Arial"/>
                <w:lang w:eastAsia="en-GB"/>
              </w:rPr>
              <w:t xml:space="preserve"> ineffective operation, failure to meet objectives or </w:t>
            </w:r>
            <w:r>
              <w:rPr>
                <w:rFonts w:cs="Arial"/>
                <w:lang w:eastAsia="en-GB"/>
              </w:rPr>
              <w:t xml:space="preserve">formal/legal </w:t>
            </w:r>
            <w:r w:rsidRPr="003F1D43">
              <w:rPr>
                <w:rFonts w:cs="Arial"/>
                <w:lang w:eastAsia="en-GB"/>
              </w:rPr>
              <w:t xml:space="preserve">challenge </w:t>
            </w:r>
            <w:r>
              <w:rPr>
                <w:rFonts w:cs="Arial"/>
                <w:lang w:eastAsia="en-GB"/>
              </w:rPr>
              <w:t>of</w:t>
            </w:r>
            <w:r w:rsidRPr="003F1D43">
              <w:rPr>
                <w:rFonts w:cs="Arial"/>
                <w:lang w:eastAsia="en-GB"/>
              </w:rPr>
              <w:t xml:space="preserve"> our decision-making processes.</w:t>
            </w:r>
            <w:r>
              <w:rPr>
                <w:rFonts w:cs="Arial"/>
                <w:lang w:eastAsia="en-GB"/>
              </w:rPr>
              <w:t xml:space="preserve"> Increased emphasis on governance from BEIS</w:t>
            </w:r>
          </w:p>
          <w:p w14:paraId="2499FA6D" w14:textId="1247D6F1" w:rsidR="00F57F94" w:rsidRPr="003F1D43" w:rsidRDefault="00F57F94" w:rsidP="00F57F94">
            <w:pPr>
              <w:rPr>
                <w:rFonts w:cs="Arial"/>
                <w:lang w:eastAsia="en-GB"/>
              </w:rPr>
            </w:pPr>
          </w:p>
        </w:tc>
        <w:tc>
          <w:tcPr>
            <w:tcW w:w="792" w:type="dxa"/>
          </w:tcPr>
          <w:p w14:paraId="4228F260" w14:textId="77777777" w:rsidR="00F57F94" w:rsidRPr="003F1D43" w:rsidRDefault="00F57F94" w:rsidP="00F57F94">
            <w:pPr>
              <w:jc w:val="center"/>
              <w:rPr>
                <w:rFonts w:cs="Arial"/>
                <w:lang w:eastAsia="en-GB"/>
              </w:rPr>
            </w:pPr>
            <w:r w:rsidRPr="003F1D43">
              <w:rPr>
                <w:rFonts w:cs="Arial"/>
                <w:lang w:eastAsia="en-GB"/>
              </w:rPr>
              <w:t>L</w:t>
            </w:r>
          </w:p>
        </w:tc>
        <w:tc>
          <w:tcPr>
            <w:tcW w:w="861" w:type="dxa"/>
          </w:tcPr>
          <w:p w14:paraId="37E7315B" w14:textId="77777777" w:rsidR="00F57F94" w:rsidRPr="003F1D43" w:rsidRDefault="00F57F94" w:rsidP="00F57F94">
            <w:pPr>
              <w:jc w:val="center"/>
              <w:rPr>
                <w:rFonts w:cs="Arial"/>
                <w:lang w:eastAsia="en-GB"/>
              </w:rPr>
            </w:pPr>
            <w:r w:rsidRPr="003F1D43">
              <w:rPr>
                <w:rFonts w:cs="Arial"/>
                <w:lang w:eastAsia="en-GB"/>
              </w:rPr>
              <w:t>L</w:t>
            </w:r>
          </w:p>
        </w:tc>
        <w:tc>
          <w:tcPr>
            <w:tcW w:w="788" w:type="dxa"/>
            <w:shd w:val="clear" w:color="auto" w:fill="00CC00"/>
          </w:tcPr>
          <w:p w14:paraId="3B5D39CA" w14:textId="77777777" w:rsidR="00F57F94" w:rsidRPr="003F1D43" w:rsidRDefault="00F57F94" w:rsidP="00F57F94">
            <w:pPr>
              <w:jc w:val="center"/>
              <w:rPr>
                <w:rFonts w:cs="Arial"/>
                <w:b/>
                <w:lang w:eastAsia="en-GB"/>
              </w:rPr>
            </w:pPr>
            <w:r w:rsidRPr="003F1D43">
              <w:rPr>
                <w:rFonts w:cs="Arial"/>
                <w:b/>
                <w:lang w:eastAsia="en-GB"/>
              </w:rPr>
              <w:t>L</w:t>
            </w:r>
          </w:p>
        </w:tc>
        <w:tc>
          <w:tcPr>
            <w:tcW w:w="4426" w:type="dxa"/>
          </w:tcPr>
          <w:p w14:paraId="57178AA3" w14:textId="2E3A1CC8" w:rsidR="00F57F94" w:rsidRDefault="00F57F94" w:rsidP="00F57F94">
            <w:pPr>
              <w:rPr>
                <w:rFonts w:cs="Arial"/>
                <w:lang w:eastAsia="en-GB"/>
              </w:rPr>
            </w:pPr>
            <w:r w:rsidRPr="003F1D43">
              <w:rPr>
                <w:rFonts w:cs="Arial"/>
                <w:lang w:eastAsia="en-GB"/>
              </w:rPr>
              <w:t xml:space="preserve">Assurance Framework sets out the roles and responsibilities of all LEP governance groups, and conflicts policy </w:t>
            </w:r>
            <w:r>
              <w:rPr>
                <w:rFonts w:cs="Arial"/>
                <w:lang w:eastAsia="en-GB"/>
              </w:rPr>
              <w:t>has been updated</w:t>
            </w:r>
            <w:r w:rsidRPr="003F1D43">
              <w:rPr>
                <w:rFonts w:cs="Arial"/>
                <w:lang w:eastAsia="en-GB"/>
              </w:rPr>
              <w:t xml:space="preserve"> for all Board and sub-group members. </w:t>
            </w:r>
            <w:r>
              <w:rPr>
                <w:rFonts w:cs="Arial"/>
                <w:lang w:eastAsia="en-GB"/>
              </w:rPr>
              <w:t xml:space="preserve">Scrutiny function established and joint work programme </w:t>
            </w:r>
            <w:proofErr w:type="gramStart"/>
            <w:r>
              <w:rPr>
                <w:rFonts w:cs="Arial"/>
                <w:lang w:eastAsia="en-GB"/>
              </w:rPr>
              <w:t>agreed</w:t>
            </w:r>
            <w:proofErr w:type="gramEnd"/>
          </w:p>
          <w:p w14:paraId="027ECA09" w14:textId="410D6EB8" w:rsidR="00F57F94" w:rsidRPr="003F1D43" w:rsidRDefault="00F57F94" w:rsidP="00F57F94">
            <w:pPr>
              <w:rPr>
                <w:rFonts w:cs="Arial"/>
                <w:lang w:eastAsia="en-GB"/>
              </w:rPr>
            </w:pPr>
          </w:p>
        </w:tc>
        <w:tc>
          <w:tcPr>
            <w:tcW w:w="1784" w:type="dxa"/>
          </w:tcPr>
          <w:p w14:paraId="551971F7" w14:textId="1315F0A3" w:rsidR="00F57F94" w:rsidRPr="003F1D43" w:rsidRDefault="003536BD" w:rsidP="00F57F94">
            <w:pPr>
              <w:rPr>
                <w:rFonts w:cs="Arial"/>
                <w:b/>
                <w:lang w:eastAsia="en-GB"/>
              </w:rPr>
            </w:pPr>
            <w:r>
              <w:rPr>
                <w:rFonts w:cs="Arial"/>
                <w:b/>
                <w:lang w:eastAsia="en-GB"/>
              </w:rPr>
              <w:t>OIC</w:t>
            </w:r>
          </w:p>
          <w:p w14:paraId="4C360180" w14:textId="77777777" w:rsidR="00F57F94" w:rsidRPr="003F1D43" w:rsidRDefault="00F57F94" w:rsidP="00F57F94">
            <w:pPr>
              <w:rPr>
                <w:rFonts w:cs="Arial"/>
                <w:b/>
                <w:lang w:eastAsia="en-GB"/>
              </w:rPr>
            </w:pPr>
          </w:p>
          <w:p w14:paraId="4EE46424" w14:textId="562E9FB9" w:rsidR="00F57F94" w:rsidRPr="003F1D43" w:rsidRDefault="00F57F94" w:rsidP="00F57F94">
            <w:pPr>
              <w:rPr>
                <w:rFonts w:cs="Arial"/>
                <w:b/>
                <w:lang w:eastAsia="en-GB"/>
              </w:rPr>
            </w:pPr>
            <w:r w:rsidRPr="003F1D43">
              <w:rPr>
                <w:rFonts w:cs="Arial"/>
                <w:lang w:eastAsia="en-GB"/>
              </w:rPr>
              <w:t xml:space="preserve">Action: </w:t>
            </w:r>
            <w:r>
              <w:rPr>
                <w:rFonts w:cs="Arial"/>
                <w:lang w:eastAsia="en-GB"/>
              </w:rPr>
              <w:t>CEX &amp; COO</w:t>
            </w:r>
          </w:p>
        </w:tc>
        <w:tc>
          <w:tcPr>
            <w:tcW w:w="706" w:type="dxa"/>
            <w:shd w:val="clear" w:color="auto" w:fill="00CC00"/>
          </w:tcPr>
          <w:p w14:paraId="2AE28E59" w14:textId="77777777" w:rsidR="00F57F94" w:rsidRPr="003F1D43" w:rsidRDefault="00F57F94" w:rsidP="00F57F94">
            <w:pPr>
              <w:jc w:val="center"/>
              <w:rPr>
                <w:rFonts w:cs="Arial"/>
                <w:b/>
              </w:rPr>
            </w:pPr>
            <w:r w:rsidRPr="003F1D43">
              <w:rPr>
                <w:rFonts w:cs="Arial"/>
                <w:b/>
              </w:rPr>
              <w:t>L</w:t>
            </w:r>
          </w:p>
        </w:tc>
        <w:tc>
          <w:tcPr>
            <w:tcW w:w="924" w:type="dxa"/>
          </w:tcPr>
          <w:p w14:paraId="507BBAEE" w14:textId="77777777" w:rsidR="00F57F94" w:rsidRPr="003F1D43" w:rsidRDefault="00F57F94" w:rsidP="00F57F94">
            <w:pPr>
              <w:jc w:val="center"/>
              <w:rPr>
                <w:rFonts w:cs="Arial"/>
              </w:rPr>
            </w:pPr>
            <w:r w:rsidRPr="00023021">
              <w:rPr>
                <w:rFonts w:cs="Arial"/>
                <w:b/>
              </w:rPr>
              <w:t>↔</w:t>
            </w:r>
          </w:p>
        </w:tc>
      </w:tr>
      <w:tr w:rsidR="00F57F94" w:rsidRPr="00CA74C6" w14:paraId="2A69A1A8" w14:textId="77777777" w:rsidTr="00565CB4">
        <w:tc>
          <w:tcPr>
            <w:tcW w:w="645" w:type="dxa"/>
          </w:tcPr>
          <w:p w14:paraId="48729FD3" w14:textId="20C36171" w:rsidR="00F57F94" w:rsidRDefault="00F57F94" w:rsidP="00F57F94">
            <w:pPr>
              <w:rPr>
                <w:rFonts w:ascii="Arial" w:hAnsi="Arial" w:cs="Arial"/>
              </w:rPr>
            </w:pPr>
            <w:r>
              <w:rPr>
                <w:rFonts w:ascii="Arial" w:hAnsi="Arial" w:cs="Arial"/>
              </w:rPr>
              <w:t>5.2</w:t>
            </w:r>
          </w:p>
        </w:tc>
        <w:tc>
          <w:tcPr>
            <w:tcW w:w="4462" w:type="dxa"/>
          </w:tcPr>
          <w:p w14:paraId="105F0DC8" w14:textId="3E6A454A" w:rsidR="00F57F94" w:rsidRDefault="00F57F94" w:rsidP="00F57F94">
            <w:pPr>
              <w:rPr>
                <w:rFonts w:cs="Arial"/>
                <w:lang w:eastAsia="en-GB"/>
              </w:rPr>
            </w:pPr>
            <w:r>
              <w:rPr>
                <w:rFonts w:cs="Arial"/>
                <w:lang w:eastAsia="en-GB"/>
              </w:rPr>
              <w:t xml:space="preserve">Failure to comply with General Data Protection Regulation (GDPR) and Privacy and Electronic Communications Regulations (PECR) creates financial or reputational risk for the </w:t>
            </w:r>
            <w:proofErr w:type="gramStart"/>
            <w:r>
              <w:rPr>
                <w:rFonts w:cs="Arial"/>
                <w:lang w:eastAsia="en-GB"/>
              </w:rPr>
              <w:t>LEP</w:t>
            </w:r>
            <w:proofErr w:type="gramEnd"/>
          </w:p>
          <w:p w14:paraId="706A399E" w14:textId="7AAE6B80" w:rsidR="00F57F94" w:rsidRPr="003F1D43" w:rsidRDefault="00F57F94" w:rsidP="00F57F94">
            <w:pPr>
              <w:rPr>
                <w:rFonts w:cs="Arial"/>
                <w:lang w:eastAsia="en-GB"/>
              </w:rPr>
            </w:pPr>
          </w:p>
        </w:tc>
        <w:tc>
          <w:tcPr>
            <w:tcW w:w="792" w:type="dxa"/>
          </w:tcPr>
          <w:p w14:paraId="363145AE" w14:textId="14FE94D5" w:rsidR="00F57F94" w:rsidRPr="003F1D43" w:rsidRDefault="00F57F94" w:rsidP="00F57F94">
            <w:pPr>
              <w:jc w:val="center"/>
              <w:rPr>
                <w:rFonts w:cs="Arial"/>
                <w:lang w:eastAsia="en-GB"/>
              </w:rPr>
            </w:pPr>
            <w:r>
              <w:rPr>
                <w:rFonts w:cs="Arial"/>
                <w:lang w:eastAsia="en-GB"/>
              </w:rPr>
              <w:t>M</w:t>
            </w:r>
          </w:p>
        </w:tc>
        <w:tc>
          <w:tcPr>
            <w:tcW w:w="861" w:type="dxa"/>
          </w:tcPr>
          <w:p w14:paraId="1B4AF19D" w14:textId="57848D37" w:rsidR="00F57F94" w:rsidRPr="003F1D43" w:rsidRDefault="00F57F94" w:rsidP="00F57F94">
            <w:pPr>
              <w:jc w:val="center"/>
              <w:rPr>
                <w:rFonts w:cs="Arial"/>
                <w:lang w:eastAsia="en-GB"/>
              </w:rPr>
            </w:pPr>
            <w:r>
              <w:rPr>
                <w:rFonts w:cs="Arial"/>
                <w:lang w:eastAsia="en-GB"/>
              </w:rPr>
              <w:t>M</w:t>
            </w:r>
          </w:p>
        </w:tc>
        <w:tc>
          <w:tcPr>
            <w:tcW w:w="788" w:type="dxa"/>
            <w:shd w:val="clear" w:color="auto" w:fill="FFCC00"/>
          </w:tcPr>
          <w:p w14:paraId="2523DFDD" w14:textId="2A0A31E0" w:rsidR="00F57F94" w:rsidRPr="003F1D43" w:rsidRDefault="00F57F94" w:rsidP="00F57F94">
            <w:pPr>
              <w:jc w:val="center"/>
              <w:rPr>
                <w:rFonts w:cs="Arial"/>
                <w:b/>
                <w:lang w:eastAsia="en-GB"/>
              </w:rPr>
            </w:pPr>
            <w:r>
              <w:rPr>
                <w:rFonts w:cs="Arial"/>
                <w:b/>
                <w:lang w:eastAsia="en-GB"/>
              </w:rPr>
              <w:t>M</w:t>
            </w:r>
          </w:p>
        </w:tc>
        <w:tc>
          <w:tcPr>
            <w:tcW w:w="4426" w:type="dxa"/>
          </w:tcPr>
          <w:p w14:paraId="66058C54" w14:textId="2C355401" w:rsidR="00F57F94" w:rsidRPr="00B72E73" w:rsidRDefault="00F57F94" w:rsidP="00F57F94">
            <w:pPr>
              <w:pStyle w:val="ListParagraph"/>
              <w:numPr>
                <w:ilvl w:val="0"/>
                <w:numId w:val="26"/>
              </w:numPr>
              <w:rPr>
                <w:rFonts w:cs="Arial"/>
                <w:lang w:eastAsia="en-GB"/>
              </w:rPr>
            </w:pPr>
            <w:r w:rsidRPr="00B72E73">
              <w:rPr>
                <w:rFonts w:cs="Arial"/>
                <w:lang w:eastAsia="en-GB"/>
              </w:rPr>
              <w:t xml:space="preserve">LEP privacy policy and approach to data management and security updated to coincide with introduction of GDPR May 2018, in conjunction and agreement with SCC’s Data Protection Officer. Policy to be updated as case law evolves, under SCC DPO’s steer. 6 monthly GDPR audits </w:t>
            </w:r>
            <w:proofErr w:type="gramStart"/>
            <w:r w:rsidRPr="00B72E73">
              <w:rPr>
                <w:rFonts w:cs="Arial"/>
                <w:lang w:eastAsia="en-GB"/>
              </w:rPr>
              <w:t>conducted</w:t>
            </w:r>
            <w:proofErr w:type="gramEnd"/>
          </w:p>
          <w:p w14:paraId="14E4804F" w14:textId="5712C2CD" w:rsidR="00F57F94" w:rsidRPr="00B72E73" w:rsidRDefault="00F57F94" w:rsidP="00F57F94">
            <w:pPr>
              <w:pStyle w:val="ListParagraph"/>
              <w:numPr>
                <w:ilvl w:val="0"/>
                <w:numId w:val="26"/>
              </w:numPr>
              <w:rPr>
                <w:rFonts w:cs="Arial"/>
                <w:lang w:eastAsia="en-GB"/>
              </w:rPr>
            </w:pPr>
            <w:r w:rsidRPr="00B72E73">
              <w:rPr>
                <w:rFonts w:cs="Arial"/>
                <w:lang w:eastAsia="en-GB"/>
              </w:rPr>
              <w:t>Cyber insurance in place</w:t>
            </w:r>
            <w:r>
              <w:rPr>
                <w:rFonts w:cs="Arial"/>
                <w:lang w:eastAsia="en-GB"/>
              </w:rPr>
              <w:t xml:space="preserve"> and LEP secured Cyber Essentials</w:t>
            </w:r>
          </w:p>
          <w:p w14:paraId="6C4FF43A" w14:textId="5A0AA916" w:rsidR="00F57F94" w:rsidRPr="003F1D43" w:rsidRDefault="00F57F94" w:rsidP="00F57F94">
            <w:pPr>
              <w:rPr>
                <w:rFonts w:cs="Arial"/>
                <w:lang w:eastAsia="en-GB"/>
              </w:rPr>
            </w:pPr>
          </w:p>
        </w:tc>
        <w:tc>
          <w:tcPr>
            <w:tcW w:w="1784" w:type="dxa"/>
          </w:tcPr>
          <w:p w14:paraId="49ACCBC6" w14:textId="3F0874FA" w:rsidR="00F57F94" w:rsidRDefault="003536BD" w:rsidP="00F57F94">
            <w:pPr>
              <w:rPr>
                <w:rFonts w:cs="Arial"/>
                <w:b/>
                <w:lang w:eastAsia="en-GB"/>
              </w:rPr>
            </w:pPr>
            <w:r>
              <w:rPr>
                <w:rFonts w:cs="Arial"/>
                <w:b/>
                <w:lang w:eastAsia="en-GB"/>
              </w:rPr>
              <w:lastRenderedPageBreak/>
              <w:t>OIC</w:t>
            </w:r>
          </w:p>
          <w:p w14:paraId="3B819649" w14:textId="77777777" w:rsidR="00F57F94" w:rsidRDefault="00F57F94" w:rsidP="00F57F94">
            <w:pPr>
              <w:rPr>
                <w:rFonts w:cs="Arial"/>
                <w:b/>
                <w:lang w:eastAsia="en-GB"/>
              </w:rPr>
            </w:pPr>
          </w:p>
          <w:p w14:paraId="52595832" w14:textId="6DD40438" w:rsidR="00F57F94" w:rsidRPr="003F1D43" w:rsidRDefault="00F57F94" w:rsidP="00F57F94">
            <w:pPr>
              <w:rPr>
                <w:rFonts w:cs="Arial"/>
                <w:b/>
                <w:lang w:eastAsia="en-GB"/>
              </w:rPr>
            </w:pPr>
            <w:r>
              <w:rPr>
                <w:rFonts w:cs="Arial"/>
                <w:b/>
                <w:lang w:eastAsia="en-GB"/>
              </w:rPr>
              <w:t>Action COO</w:t>
            </w:r>
          </w:p>
        </w:tc>
        <w:tc>
          <w:tcPr>
            <w:tcW w:w="706" w:type="dxa"/>
            <w:shd w:val="clear" w:color="auto" w:fill="00CC00"/>
          </w:tcPr>
          <w:p w14:paraId="48994B35" w14:textId="692DC312" w:rsidR="00F57F94" w:rsidRPr="003F1D43" w:rsidRDefault="00F57F94" w:rsidP="00F57F94">
            <w:pPr>
              <w:jc w:val="center"/>
              <w:rPr>
                <w:rFonts w:cs="Arial"/>
                <w:b/>
              </w:rPr>
            </w:pPr>
            <w:r>
              <w:rPr>
                <w:rFonts w:cs="Arial"/>
                <w:b/>
              </w:rPr>
              <w:t>L</w:t>
            </w:r>
          </w:p>
        </w:tc>
        <w:tc>
          <w:tcPr>
            <w:tcW w:w="924" w:type="dxa"/>
          </w:tcPr>
          <w:p w14:paraId="3BE71050" w14:textId="15E0660C" w:rsidR="00F57F94" w:rsidRPr="00BD00A3" w:rsidRDefault="00F57F94" w:rsidP="00F57F94">
            <w:pPr>
              <w:jc w:val="center"/>
              <w:rPr>
                <w:rFonts w:cs="Arial"/>
                <w:b/>
              </w:rPr>
            </w:pPr>
            <w:r w:rsidRPr="00023021">
              <w:rPr>
                <w:rFonts w:cs="Arial"/>
                <w:b/>
              </w:rPr>
              <w:t>↔</w:t>
            </w:r>
          </w:p>
        </w:tc>
      </w:tr>
      <w:tr w:rsidR="00F57F94" w:rsidRPr="00CA74C6" w14:paraId="77426064" w14:textId="77777777" w:rsidTr="003C2665">
        <w:tc>
          <w:tcPr>
            <w:tcW w:w="645" w:type="dxa"/>
            <w:shd w:val="clear" w:color="auto" w:fill="E2EFD9" w:themeFill="accent6" w:themeFillTint="33"/>
          </w:tcPr>
          <w:p w14:paraId="3ACCB5D5" w14:textId="62211F87" w:rsidR="00F57F94" w:rsidRPr="0092107F" w:rsidRDefault="00F57F94" w:rsidP="00F57F94">
            <w:pPr>
              <w:rPr>
                <w:rFonts w:ascii="Arial" w:hAnsi="Arial" w:cs="Arial"/>
                <w:b/>
              </w:rPr>
            </w:pPr>
            <w:r>
              <w:br w:type="page"/>
            </w:r>
            <w:r w:rsidRPr="0092107F">
              <w:rPr>
                <w:rFonts w:ascii="Arial" w:hAnsi="Arial" w:cs="Arial"/>
                <w:b/>
              </w:rPr>
              <w:t>6</w:t>
            </w:r>
          </w:p>
        </w:tc>
        <w:tc>
          <w:tcPr>
            <w:tcW w:w="14743" w:type="dxa"/>
            <w:gridSpan w:val="8"/>
            <w:shd w:val="clear" w:color="auto" w:fill="E2EFD9" w:themeFill="accent6" w:themeFillTint="33"/>
          </w:tcPr>
          <w:p w14:paraId="5A688851" w14:textId="77777777" w:rsidR="00F57F94" w:rsidRPr="0092107F" w:rsidRDefault="00F57F94" w:rsidP="00F57F94">
            <w:pPr>
              <w:rPr>
                <w:rFonts w:ascii="Arial" w:hAnsi="Arial" w:cs="Arial"/>
                <w:b/>
              </w:rPr>
            </w:pPr>
            <w:r>
              <w:rPr>
                <w:rFonts w:ascii="Arial" w:hAnsi="Arial" w:cs="Arial"/>
                <w:b/>
              </w:rPr>
              <w:t>STAFF RESOURCING</w:t>
            </w:r>
          </w:p>
        </w:tc>
      </w:tr>
      <w:tr w:rsidR="00F57F94" w:rsidRPr="00CA74C6" w14:paraId="70A6D6B5" w14:textId="77777777" w:rsidTr="00565CB4">
        <w:tc>
          <w:tcPr>
            <w:tcW w:w="645" w:type="dxa"/>
          </w:tcPr>
          <w:p w14:paraId="4878DBC8" w14:textId="77777777" w:rsidR="00F57F94" w:rsidRDefault="00F57F94" w:rsidP="00F57F94">
            <w:pPr>
              <w:rPr>
                <w:rFonts w:ascii="Arial" w:hAnsi="Arial" w:cs="Arial"/>
              </w:rPr>
            </w:pPr>
            <w:r>
              <w:rPr>
                <w:rFonts w:ascii="Arial" w:hAnsi="Arial" w:cs="Arial"/>
              </w:rPr>
              <w:t>6.1</w:t>
            </w:r>
          </w:p>
        </w:tc>
        <w:tc>
          <w:tcPr>
            <w:tcW w:w="4462" w:type="dxa"/>
          </w:tcPr>
          <w:p w14:paraId="24CC1441" w14:textId="7D47D727" w:rsidR="00F57F94" w:rsidRDefault="00F57F94" w:rsidP="00F57F94">
            <w:pPr>
              <w:rPr>
                <w:rFonts w:cs="Arial"/>
                <w:lang w:eastAsia="en-GB"/>
              </w:rPr>
            </w:pPr>
            <w:r>
              <w:rPr>
                <w:rFonts w:cs="Arial"/>
                <w:lang w:eastAsia="en-GB"/>
              </w:rPr>
              <w:t>Unplanned requests for support from our partners and stakeholders cannot be met through LEP core team capacity or resourced through local authority SLAs.</w:t>
            </w:r>
          </w:p>
          <w:p w14:paraId="5F946072" w14:textId="2B9F9962" w:rsidR="00F57F94" w:rsidRPr="003F1D43" w:rsidRDefault="00F57F94" w:rsidP="00F57F94">
            <w:pPr>
              <w:pStyle w:val="NormalWeb"/>
              <w:rPr>
                <w:rFonts w:cs="Arial"/>
              </w:rPr>
            </w:pPr>
          </w:p>
        </w:tc>
        <w:tc>
          <w:tcPr>
            <w:tcW w:w="792" w:type="dxa"/>
          </w:tcPr>
          <w:p w14:paraId="5A44D89E" w14:textId="2E13CC5F" w:rsidR="00F57F94" w:rsidRPr="003F1D43" w:rsidRDefault="00F57F94" w:rsidP="00F57F94">
            <w:pPr>
              <w:jc w:val="center"/>
              <w:rPr>
                <w:rFonts w:cs="Arial"/>
                <w:lang w:eastAsia="en-GB"/>
              </w:rPr>
            </w:pPr>
            <w:r>
              <w:rPr>
                <w:rFonts w:cs="Arial"/>
                <w:lang w:eastAsia="en-GB"/>
              </w:rPr>
              <w:t>M</w:t>
            </w:r>
          </w:p>
        </w:tc>
        <w:tc>
          <w:tcPr>
            <w:tcW w:w="861" w:type="dxa"/>
          </w:tcPr>
          <w:p w14:paraId="1E37121F" w14:textId="48941953" w:rsidR="00F57F94" w:rsidRPr="003F1D43" w:rsidRDefault="00F57F94" w:rsidP="00F57F94">
            <w:pPr>
              <w:jc w:val="center"/>
              <w:rPr>
                <w:rFonts w:cs="Arial"/>
                <w:lang w:eastAsia="en-GB"/>
              </w:rPr>
            </w:pPr>
            <w:r>
              <w:rPr>
                <w:rFonts w:cs="Arial"/>
                <w:lang w:eastAsia="en-GB"/>
              </w:rPr>
              <w:t>M</w:t>
            </w:r>
          </w:p>
        </w:tc>
        <w:tc>
          <w:tcPr>
            <w:tcW w:w="788" w:type="dxa"/>
            <w:shd w:val="clear" w:color="auto" w:fill="FFCC00"/>
          </w:tcPr>
          <w:p w14:paraId="41BEF83E" w14:textId="749C638F" w:rsidR="00F57F94" w:rsidRPr="003F1D43" w:rsidRDefault="00F57F94" w:rsidP="00F57F94">
            <w:pPr>
              <w:jc w:val="center"/>
              <w:rPr>
                <w:rFonts w:cs="Arial"/>
                <w:b/>
                <w:lang w:eastAsia="en-GB"/>
              </w:rPr>
            </w:pPr>
            <w:r>
              <w:rPr>
                <w:rFonts w:cs="Arial"/>
                <w:b/>
                <w:lang w:eastAsia="en-GB"/>
              </w:rPr>
              <w:t>M</w:t>
            </w:r>
          </w:p>
        </w:tc>
        <w:tc>
          <w:tcPr>
            <w:tcW w:w="4426" w:type="dxa"/>
          </w:tcPr>
          <w:p w14:paraId="6E797F29" w14:textId="1AB7FD11" w:rsidR="00F57F94" w:rsidRDefault="00F57F94" w:rsidP="00F57F94">
            <w:pPr>
              <w:pStyle w:val="ListParagraph"/>
              <w:numPr>
                <w:ilvl w:val="0"/>
                <w:numId w:val="19"/>
              </w:numPr>
              <w:spacing w:after="120"/>
              <w:ind w:left="357" w:hanging="357"/>
              <w:contextualSpacing w:val="0"/>
              <w:rPr>
                <w:rFonts w:cs="Arial"/>
                <w:lang w:eastAsia="en-GB"/>
              </w:rPr>
            </w:pPr>
            <w:r w:rsidRPr="0027602C">
              <w:rPr>
                <w:rFonts w:cs="Arial"/>
                <w:lang w:eastAsia="en-GB"/>
              </w:rPr>
              <w:t>Staffing included in SLAs and monitored by management team meaning unplanned requests should be minimised. There may also be options for looking to other, non-local authority LEP partners, who may be able to contribute in-kind support (e.g. universities for research activity).</w:t>
            </w:r>
            <w:r>
              <w:rPr>
                <w:rFonts w:cs="Arial"/>
                <w:lang w:eastAsia="en-GB"/>
              </w:rPr>
              <w:t xml:space="preserve"> SLAs have 3-month notice period for changes.</w:t>
            </w:r>
          </w:p>
          <w:p w14:paraId="1F12FADE" w14:textId="6D6D437E" w:rsidR="00F57F94" w:rsidRPr="0027602C" w:rsidRDefault="003536BD" w:rsidP="00F57F94">
            <w:pPr>
              <w:pStyle w:val="ListParagraph"/>
              <w:numPr>
                <w:ilvl w:val="0"/>
                <w:numId w:val="19"/>
              </w:numPr>
              <w:spacing w:after="120"/>
              <w:ind w:left="357" w:hanging="357"/>
              <w:contextualSpacing w:val="0"/>
              <w:rPr>
                <w:rFonts w:cs="Arial"/>
                <w:lang w:eastAsia="en-GB"/>
              </w:rPr>
            </w:pPr>
            <w:r>
              <w:rPr>
                <w:rFonts w:cs="Arial"/>
                <w:lang w:eastAsia="en-GB"/>
              </w:rPr>
              <w:t>OIC</w:t>
            </w:r>
            <w:r w:rsidR="00F57F94">
              <w:rPr>
                <w:rFonts w:cs="Arial"/>
                <w:lang w:eastAsia="en-GB"/>
              </w:rPr>
              <w:t xml:space="preserve"> monitors LEP finances and shortfalls in funding identified through this route. Where there is a shortfall, proposals to be brought to </w:t>
            </w:r>
            <w:r>
              <w:rPr>
                <w:rFonts w:cs="Arial"/>
                <w:lang w:eastAsia="en-GB"/>
              </w:rPr>
              <w:t>OIC</w:t>
            </w:r>
          </w:p>
          <w:p w14:paraId="4B0C35A2" w14:textId="4AAEF1A9" w:rsidR="00F57F94" w:rsidRPr="00911744" w:rsidRDefault="00F57F94" w:rsidP="00F57F94">
            <w:pPr>
              <w:pStyle w:val="ListParagraph"/>
              <w:numPr>
                <w:ilvl w:val="0"/>
                <w:numId w:val="19"/>
              </w:numPr>
              <w:spacing w:after="120"/>
              <w:contextualSpacing w:val="0"/>
              <w:rPr>
                <w:rFonts w:cs="Arial"/>
                <w:lang w:eastAsia="en-GB"/>
              </w:rPr>
            </w:pPr>
            <w:r>
              <w:rPr>
                <w:rFonts w:cs="Arial"/>
                <w:lang w:eastAsia="en-GB"/>
              </w:rPr>
              <w:t>W</w:t>
            </w:r>
            <w:r w:rsidRPr="0027602C">
              <w:rPr>
                <w:rFonts w:cs="Arial"/>
                <w:lang w:eastAsia="en-GB"/>
              </w:rPr>
              <w:t>here there is a case for increased headcount, which is fully funded through core funds and represents better value for money than external contractors, and is to deliver priority activity, a strong case should be put to the LEP Board.</w:t>
            </w:r>
          </w:p>
          <w:p w14:paraId="56463937" w14:textId="274E38EE" w:rsidR="00F57F94" w:rsidRPr="001D5FF6" w:rsidRDefault="00F57F94" w:rsidP="00F57F94">
            <w:pPr>
              <w:pStyle w:val="ListParagraph"/>
              <w:numPr>
                <w:ilvl w:val="0"/>
                <w:numId w:val="19"/>
              </w:numPr>
              <w:spacing w:after="120"/>
              <w:contextualSpacing w:val="0"/>
              <w:rPr>
                <w:rFonts w:cs="Arial"/>
                <w:lang w:eastAsia="en-GB"/>
              </w:rPr>
            </w:pPr>
            <w:r w:rsidRPr="00146256">
              <w:rPr>
                <w:rFonts w:cs="Arial"/>
                <w:lang w:eastAsia="en-GB"/>
              </w:rPr>
              <w:t>Resourcing implications of requests from Govt, especially with short timelines, to be monitored by LEP management team</w:t>
            </w:r>
          </w:p>
        </w:tc>
        <w:tc>
          <w:tcPr>
            <w:tcW w:w="1784" w:type="dxa"/>
          </w:tcPr>
          <w:p w14:paraId="5F0DD2E3" w14:textId="6034F9C3" w:rsidR="00F57F94" w:rsidRDefault="003536BD" w:rsidP="00F57F94">
            <w:pPr>
              <w:rPr>
                <w:rFonts w:cs="Arial"/>
                <w:b/>
                <w:lang w:eastAsia="en-GB"/>
              </w:rPr>
            </w:pPr>
            <w:r>
              <w:rPr>
                <w:rFonts w:cs="Arial"/>
                <w:b/>
                <w:lang w:eastAsia="en-GB"/>
              </w:rPr>
              <w:t>OIC</w:t>
            </w:r>
          </w:p>
          <w:p w14:paraId="30603B7D" w14:textId="77777777" w:rsidR="00F57F94" w:rsidRDefault="00F57F94" w:rsidP="00F57F94">
            <w:pPr>
              <w:rPr>
                <w:rFonts w:cs="Arial"/>
                <w:b/>
                <w:lang w:eastAsia="en-GB"/>
              </w:rPr>
            </w:pPr>
          </w:p>
          <w:p w14:paraId="76D6E8E6" w14:textId="77777777" w:rsidR="00F57F94" w:rsidRPr="00711F6E" w:rsidRDefault="00F57F94" w:rsidP="00F57F94">
            <w:pPr>
              <w:rPr>
                <w:rFonts w:cs="Arial"/>
                <w:lang w:eastAsia="en-GB"/>
              </w:rPr>
            </w:pPr>
            <w:r>
              <w:rPr>
                <w:rFonts w:cs="Arial"/>
                <w:lang w:eastAsia="en-GB"/>
              </w:rPr>
              <w:t>Action: CEO</w:t>
            </w:r>
          </w:p>
        </w:tc>
        <w:tc>
          <w:tcPr>
            <w:tcW w:w="706" w:type="dxa"/>
            <w:shd w:val="clear" w:color="auto" w:fill="00CC00"/>
          </w:tcPr>
          <w:p w14:paraId="2DB1AC21" w14:textId="7305E3B5" w:rsidR="00F57F94" w:rsidRPr="003F1D43" w:rsidRDefault="00F57F94" w:rsidP="00F57F94">
            <w:pPr>
              <w:jc w:val="center"/>
              <w:rPr>
                <w:rFonts w:cs="Arial"/>
                <w:b/>
              </w:rPr>
            </w:pPr>
            <w:r>
              <w:rPr>
                <w:rFonts w:cs="Arial"/>
                <w:b/>
              </w:rPr>
              <w:t>L</w:t>
            </w:r>
          </w:p>
        </w:tc>
        <w:tc>
          <w:tcPr>
            <w:tcW w:w="924" w:type="dxa"/>
          </w:tcPr>
          <w:p w14:paraId="1425291C" w14:textId="78CB3430" w:rsidR="00F57F94" w:rsidRPr="00BD00A3" w:rsidRDefault="00F57F94" w:rsidP="00F57F94">
            <w:pPr>
              <w:jc w:val="center"/>
              <w:rPr>
                <w:rFonts w:cs="Arial"/>
                <w:b/>
              </w:rPr>
            </w:pPr>
            <w:r w:rsidRPr="00023021">
              <w:rPr>
                <w:rFonts w:cs="Arial"/>
                <w:b/>
              </w:rPr>
              <w:t>↔</w:t>
            </w:r>
          </w:p>
        </w:tc>
      </w:tr>
      <w:tr w:rsidR="00F57F94" w:rsidRPr="00CA74C6" w14:paraId="61477897" w14:textId="77777777" w:rsidTr="00565CB4">
        <w:tc>
          <w:tcPr>
            <w:tcW w:w="645" w:type="dxa"/>
          </w:tcPr>
          <w:p w14:paraId="369BCE0A" w14:textId="581F68A4" w:rsidR="00F57F94" w:rsidRDefault="00F57F94" w:rsidP="00F57F94">
            <w:pPr>
              <w:rPr>
                <w:rFonts w:ascii="Arial" w:hAnsi="Arial" w:cs="Arial"/>
              </w:rPr>
            </w:pPr>
            <w:r>
              <w:rPr>
                <w:rFonts w:ascii="Arial" w:hAnsi="Arial" w:cs="Arial"/>
              </w:rPr>
              <w:t>6.2</w:t>
            </w:r>
          </w:p>
        </w:tc>
        <w:tc>
          <w:tcPr>
            <w:tcW w:w="4462" w:type="dxa"/>
          </w:tcPr>
          <w:p w14:paraId="5E3BD073" w14:textId="6A5FD05A" w:rsidR="00F57F94" w:rsidRDefault="00F57F94" w:rsidP="00F57F94">
            <w:pPr>
              <w:rPr>
                <w:rFonts w:cs="Arial"/>
                <w:lang w:eastAsia="en-GB"/>
              </w:rPr>
            </w:pPr>
            <w:r w:rsidRPr="001F5D59">
              <w:rPr>
                <w:rFonts w:cs="Arial"/>
                <w:lang w:eastAsia="en-GB"/>
              </w:rPr>
              <w:t xml:space="preserve">Spread of coronavirus incapacitates LEP and partnership </w:t>
            </w:r>
            <w:proofErr w:type="gramStart"/>
            <w:r w:rsidRPr="001F5D59">
              <w:rPr>
                <w:rFonts w:cs="Arial"/>
                <w:lang w:eastAsia="en-GB"/>
              </w:rPr>
              <w:t>staff</w:t>
            </w:r>
            <w:proofErr w:type="gramEnd"/>
          </w:p>
          <w:p w14:paraId="123C1EB1" w14:textId="20101F99" w:rsidR="00F57F94" w:rsidRPr="00C06E59" w:rsidRDefault="00F57F94" w:rsidP="00F57F94">
            <w:pPr>
              <w:pStyle w:val="ListParagraph"/>
              <w:numPr>
                <w:ilvl w:val="0"/>
                <w:numId w:val="2"/>
              </w:numPr>
              <w:rPr>
                <w:rFonts w:cs="Arial"/>
                <w:lang w:eastAsia="en-GB"/>
              </w:rPr>
            </w:pPr>
            <w:r>
              <w:rPr>
                <w:rFonts w:cs="Arial"/>
                <w:lang w:eastAsia="en-GB"/>
              </w:rPr>
              <w:t>c</w:t>
            </w:r>
            <w:r w:rsidRPr="001F5D59">
              <w:rPr>
                <w:rFonts w:cs="Arial"/>
                <w:lang w:eastAsia="en-GB"/>
              </w:rPr>
              <w:t>urrent infection levels relatively low though situation could change quickly</w:t>
            </w:r>
          </w:p>
        </w:tc>
        <w:tc>
          <w:tcPr>
            <w:tcW w:w="792" w:type="dxa"/>
            <w:shd w:val="clear" w:color="auto" w:fill="auto"/>
          </w:tcPr>
          <w:p w14:paraId="2772239A" w14:textId="3EE575F5" w:rsidR="00F57F94" w:rsidRDefault="00F57F94" w:rsidP="00F57F94">
            <w:pPr>
              <w:jc w:val="center"/>
              <w:rPr>
                <w:rFonts w:cs="Arial"/>
                <w:lang w:eastAsia="en-GB"/>
              </w:rPr>
            </w:pPr>
            <w:r>
              <w:rPr>
                <w:rFonts w:cs="Arial"/>
                <w:lang w:eastAsia="en-GB"/>
              </w:rPr>
              <w:t>M</w:t>
            </w:r>
          </w:p>
        </w:tc>
        <w:tc>
          <w:tcPr>
            <w:tcW w:w="861" w:type="dxa"/>
          </w:tcPr>
          <w:p w14:paraId="60CC805E" w14:textId="403E76C4" w:rsidR="00F57F94" w:rsidRDefault="00F57F94" w:rsidP="00F57F94">
            <w:pPr>
              <w:jc w:val="center"/>
              <w:rPr>
                <w:rFonts w:cs="Arial"/>
                <w:lang w:eastAsia="en-GB"/>
              </w:rPr>
            </w:pPr>
            <w:r>
              <w:rPr>
                <w:rFonts w:cs="Arial"/>
                <w:lang w:eastAsia="en-GB"/>
              </w:rPr>
              <w:t>M</w:t>
            </w:r>
          </w:p>
        </w:tc>
        <w:tc>
          <w:tcPr>
            <w:tcW w:w="788" w:type="dxa"/>
            <w:shd w:val="clear" w:color="auto" w:fill="FFCC00"/>
          </w:tcPr>
          <w:p w14:paraId="2065838C" w14:textId="6904C093" w:rsidR="00F57F94" w:rsidRDefault="00F57F94" w:rsidP="00F57F94">
            <w:pPr>
              <w:jc w:val="center"/>
              <w:rPr>
                <w:rFonts w:cs="Arial"/>
                <w:b/>
                <w:lang w:eastAsia="en-GB"/>
              </w:rPr>
            </w:pPr>
            <w:r>
              <w:rPr>
                <w:rFonts w:cs="Arial"/>
                <w:b/>
                <w:lang w:eastAsia="en-GB"/>
              </w:rPr>
              <w:t>M</w:t>
            </w:r>
          </w:p>
        </w:tc>
        <w:tc>
          <w:tcPr>
            <w:tcW w:w="4426" w:type="dxa"/>
          </w:tcPr>
          <w:p w14:paraId="71744CD3" w14:textId="130F1B96" w:rsidR="00F57F94" w:rsidRPr="006736BF" w:rsidRDefault="00F57F94" w:rsidP="00F57F94">
            <w:pPr>
              <w:rPr>
                <w:rFonts w:cs="Arial"/>
                <w:lang w:eastAsia="en-GB"/>
              </w:rPr>
            </w:pPr>
            <w:r w:rsidRPr="001F5D59">
              <w:rPr>
                <w:rFonts w:cs="Arial"/>
                <w:lang w:eastAsia="en-GB"/>
              </w:rPr>
              <w:t>Follow Govt and Accountable Body guidance as this evolves; r</w:t>
            </w:r>
            <w:r w:rsidRPr="006736BF">
              <w:rPr>
                <w:rFonts w:cs="Arial"/>
                <w:lang w:eastAsia="en-GB"/>
              </w:rPr>
              <w:t>emote working capability in core team</w:t>
            </w:r>
          </w:p>
        </w:tc>
        <w:tc>
          <w:tcPr>
            <w:tcW w:w="1784" w:type="dxa"/>
          </w:tcPr>
          <w:p w14:paraId="7C2669E1" w14:textId="1D324527" w:rsidR="00F57F94" w:rsidRDefault="003536BD" w:rsidP="00F57F94">
            <w:pPr>
              <w:rPr>
                <w:rFonts w:cs="Arial"/>
                <w:b/>
                <w:lang w:eastAsia="en-GB"/>
              </w:rPr>
            </w:pPr>
            <w:r>
              <w:rPr>
                <w:rFonts w:cs="Arial"/>
                <w:b/>
                <w:lang w:eastAsia="en-GB"/>
              </w:rPr>
              <w:t>OIC</w:t>
            </w:r>
          </w:p>
          <w:p w14:paraId="68B8C4F6" w14:textId="77777777" w:rsidR="00F57F94" w:rsidRDefault="00F57F94" w:rsidP="00F57F94">
            <w:pPr>
              <w:rPr>
                <w:rFonts w:cs="Arial"/>
                <w:b/>
                <w:lang w:eastAsia="en-GB"/>
              </w:rPr>
            </w:pPr>
          </w:p>
          <w:p w14:paraId="15B438FC" w14:textId="136904AF" w:rsidR="00F57F94" w:rsidRDefault="00F57F94" w:rsidP="00F57F94">
            <w:pPr>
              <w:rPr>
                <w:rFonts w:cs="Arial"/>
                <w:b/>
                <w:lang w:eastAsia="en-GB"/>
              </w:rPr>
            </w:pPr>
            <w:r w:rsidRPr="00FB0DF9">
              <w:rPr>
                <w:rFonts w:cs="Arial"/>
                <w:lang w:eastAsia="en-GB"/>
              </w:rPr>
              <w:t>Action: CEO</w:t>
            </w:r>
          </w:p>
        </w:tc>
        <w:tc>
          <w:tcPr>
            <w:tcW w:w="706" w:type="dxa"/>
            <w:shd w:val="clear" w:color="auto" w:fill="FFCC00"/>
          </w:tcPr>
          <w:p w14:paraId="3DFAD89D" w14:textId="53DBEB7F" w:rsidR="00F57F94" w:rsidRDefault="00F57F94" w:rsidP="00F57F94">
            <w:pPr>
              <w:jc w:val="center"/>
              <w:rPr>
                <w:rFonts w:cs="Arial"/>
                <w:b/>
              </w:rPr>
            </w:pPr>
            <w:r>
              <w:rPr>
                <w:rFonts w:cs="Arial"/>
                <w:b/>
              </w:rPr>
              <w:t>M/L</w:t>
            </w:r>
          </w:p>
        </w:tc>
        <w:tc>
          <w:tcPr>
            <w:tcW w:w="924" w:type="dxa"/>
          </w:tcPr>
          <w:p w14:paraId="5B54DA4C" w14:textId="7DB58911" w:rsidR="00F57F94" w:rsidRPr="00BD00A3" w:rsidRDefault="00F57F94" w:rsidP="00F57F94">
            <w:pPr>
              <w:jc w:val="center"/>
              <w:rPr>
                <w:rFonts w:cs="Arial"/>
                <w:b/>
              </w:rPr>
            </w:pPr>
            <w:r w:rsidRPr="00BD00A3">
              <w:rPr>
                <w:rFonts w:cs="Arial"/>
                <w:b/>
              </w:rPr>
              <w:t>↔</w:t>
            </w:r>
          </w:p>
        </w:tc>
      </w:tr>
      <w:tr w:rsidR="00F57F94" w:rsidRPr="00CA74C6" w14:paraId="3F913E18" w14:textId="77777777" w:rsidTr="00565CB4">
        <w:tc>
          <w:tcPr>
            <w:tcW w:w="645" w:type="dxa"/>
          </w:tcPr>
          <w:p w14:paraId="5EF09054" w14:textId="357BBEBC" w:rsidR="00F57F94" w:rsidRDefault="00F57F94" w:rsidP="00F57F94">
            <w:pPr>
              <w:rPr>
                <w:rFonts w:ascii="Arial" w:hAnsi="Arial" w:cs="Arial"/>
              </w:rPr>
            </w:pPr>
            <w:r>
              <w:rPr>
                <w:rFonts w:ascii="Arial" w:hAnsi="Arial" w:cs="Arial"/>
              </w:rPr>
              <w:t>6.3</w:t>
            </w:r>
          </w:p>
        </w:tc>
        <w:tc>
          <w:tcPr>
            <w:tcW w:w="4462" w:type="dxa"/>
          </w:tcPr>
          <w:p w14:paraId="4DDDC5C0" w14:textId="754D6D04" w:rsidR="00F57F94" w:rsidRPr="001F5D59" w:rsidRDefault="00F57F94" w:rsidP="00F57F94">
            <w:pPr>
              <w:rPr>
                <w:rFonts w:cs="Arial"/>
                <w:lang w:eastAsia="en-GB"/>
              </w:rPr>
            </w:pPr>
            <w:r>
              <w:rPr>
                <w:rFonts w:cs="Arial"/>
                <w:lang w:eastAsia="en-GB"/>
              </w:rPr>
              <w:t>Uncertainty over longer term LEP role risks disengagement of staff and Board members, impacting the LEP’s ability to deliver its commitments (see also 1.5)</w:t>
            </w:r>
          </w:p>
        </w:tc>
        <w:tc>
          <w:tcPr>
            <w:tcW w:w="792" w:type="dxa"/>
            <w:shd w:val="clear" w:color="auto" w:fill="auto"/>
          </w:tcPr>
          <w:p w14:paraId="4FF82B6B" w14:textId="2E42F1EF" w:rsidR="00F57F94" w:rsidRDefault="00F57F94" w:rsidP="00F57F94">
            <w:pPr>
              <w:jc w:val="center"/>
              <w:rPr>
                <w:rFonts w:cs="Arial"/>
                <w:lang w:eastAsia="en-GB"/>
              </w:rPr>
            </w:pPr>
            <w:r>
              <w:rPr>
                <w:rFonts w:cs="Arial"/>
                <w:lang w:eastAsia="en-GB"/>
              </w:rPr>
              <w:t>M</w:t>
            </w:r>
          </w:p>
        </w:tc>
        <w:tc>
          <w:tcPr>
            <w:tcW w:w="861" w:type="dxa"/>
          </w:tcPr>
          <w:p w14:paraId="7EA68B73" w14:textId="246E6A21" w:rsidR="00F57F94" w:rsidRDefault="00F57F94" w:rsidP="00F57F94">
            <w:pPr>
              <w:jc w:val="center"/>
              <w:rPr>
                <w:rFonts w:cs="Arial"/>
                <w:lang w:eastAsia="en-GB"/>
              </w:rPr>
            </w:pPr>
            <w:r>
              <w:rPr>
                <w:rFonts w:cs="Arial"/>
                <w:lang w:eastAsia="en-GB"/>
              </w:rPr>
              <w:t>H</w:t>
            </w:r>
          </w:p>
        </w:tc>
        <w:tc>
          <w:tcPr>
            <w:tcW w:w="788" w:type="dxa"/>
            <w:shd w:val="clear" w:color="auto" w:fill="FF0000"/>
          </w:tcPr>
          <w:p w14:paraId="5640A3FA" w14:textId="087C10E0" w:rsidR="00F57F94" w:rsidRDefault="00F57F94" w:rsidP="00F57F94">
            <w:pPr>
              <w:jc w:val="center"/>
              <w:rPr>
                <w:rFonts w:cs="Arial"/>
                <w:b/>
                <w:lang w:eastAsia="en-GB"/>
              </w:rPr>
            </w:pPr>
            <w:r>
              <w:rPr>
                <w:rFonts w:cs="Arial"/>
                <w:b/>
                <w:lang w:eastAsia="en-GB"/>
              </w:rPr>
              <w:t>M/H</w:t>
            </w:r>
          </w:p>
        </w:tc>
        <w:tc>
          <w:tcPr>
            <w:tcW w:w="4426" w:type="dxa"/>
          </w:tcPr>
          <w:p w14:paraId="5C9DEB62" w14:textId="010E8E86" w:rsidR="00F57F94" w:rsidRPr="005B1093" w:rsidRDefault="00F57F94" w:rsidP="00F57F94">
            <w:pPr>
              <w:pStyle w:val="ListParagraph"/>
              <w:numPr>
                <w:ilvl w:val="0"/>
                <w:numId w:val="27"/>
              </w:numPr>
              <w:rPr>
                <w:rFonts w:cs="Arial"/>
                <w:lang w:eastAsia="en-GB"/>
              </w:rPr>
            </w:pPr>
            <w:r w:rsidRPr="005B1093">
              <w:rPr>
                <w:rFonts w:cs="Arial"/>
                <w:lang w:eastAsia="en-GB"/>
              </w:rPr>
              <w:t>Board have agreed to</w:t>
            </w:r>
            <w:r>
              <w:rPr>
                <w:rFonts w:cs="Arial"/>
                <w:lang w:eastAsia="en-GB"/>
              </w:rPr>
              <w:t xml:space="preserve"> plan for</w:t>
            </w:r>
            <w:r w:rsidRPr="005B1093">
              <w:rPr>
                <w:rFonts w:cs="Arial"/>
                <w:lang w:eastAsia="en-GB"/>
              </w:rPr>
              <w:t xml:space="preserve"> full year </w:t>
            </w:r>
            <w:r>
              <w:rPr>
                <w:rFonts w:cs="Arial"/>
                <w:lang w:eastAsia="en-GB"/>
              </w:rPr>
              <w:t>23/24</w:t>
            </w:r>
            <w:r w:rsidRPr="005B1093">
              <w:rPr>
                <w:rFonts w:cs="Arial"/>
                <w:lang w:eastAsia="en-GB"/>
              </w:rPr>
              <w:t xml:space="preserve"> operation and LEP has budget to support this &amp; delivery of existing work programme</w:t>
            </w:r>
            <w:r>
              <w:rPr>
                <w:rFonts w:cs="Arial"/>
                <w:lang w:eastAsia="en-GB"/>
              </w:rPr>
              <w:t xml:space="preserve">, providing short term certainty. Team </w:t>
            </w:r>
            <w:proofErr w:type="gramStart"/>
            <w:r>
              <w:rPr>
                <w:rFonts w:cs="Arial"/>
                <w:lang w:eastAsia="en-GB"/>
              </w:rPr>
              <w:t>are</w:t>
            </w:r>
            <w:proofErr w:type="gramEnd"/>
            <w:r>
              <w:rPr>
                <w:rFonts w:cs="Arial"/>
                <w:lang w:eastAsia="en-GB"/>
              </w:rPr>
              <w:t xml:space="preserve"> aware</w:t>
            </w:r>
          </w:p>
          <w:p w14:paraId="785E9C4D" w14:textId="3AE2EE07" w:rsidR="00F57F94" w:rsidRDefault="00F57F94" w:rsidP="00F57F94">
            <w:pPr>
              <w:pStyle w:val="ListParagraph"/>
              <w:numPr>
                <w:ilvl w:val="0"/>
                <w:numId w:val="27"/>
              </w:numPr>
              <w:rPr>
                <w:rFonts w:cs="Arial"/>
                <w:lang w:eastAsia="en-GB"/>
              </w:rPr>
            </w:pPr>
            <w:r w:rsidRPr="005B1093">
              <w:rPr>
                <w:rFonts w:cs="Arial"/>
                <w:lang w:eastAsia="en-GB"/>
              </w:rPr>
              <w:lastRenderedPageBreak/>
              <w:t xml:space="preserve">Longer term </w:t>
            </w:r>
            <w:r>
              <w:rPr>
                <w:rFonts w:cs="Arial"/>
                <w:lang w:eastAsia="en-GB"/>
              </w:rPr>
              <w:t>position</w:t>
            </w:r>
            <w:r w:rsidRPr="005B1093">
              <w:rPr>
                <w:rFonts w:cs="Arial"/>
                <w:lang w:eastAsia="en-GB"/>
              </w:rPr>
              <w:t xml:space="preserve"> </w:t>
            </w:r>
            <w:r>
              <w:rPr>
                <w:rFonts w:cs="Arial"/>
                <w:lang w:eastAsia="en-GB"/>
              </w:rPr>
              <w:t>being</w:t>
            </w:r>
            <w:r w:rsidRPr="005B1093">
              <w:rPr>
                <w:rFonts w:cs="Arial"/>
                <w:lang w:eastAsia="en-GB"/>
              </w:rPr>
              <w:t xml:space="preserve"> developed </w:t>
            </w:r>
            <w:r w:rsidR="00BB2B20">
              <w:rPr>
                <w:rFonts w:cs="Arial"/>
                <w:lang w:eastAsia="en-GB"/>
              </w:rPr>
              <w:t xml:space="preserve">in response to Budget 2023 funding </w:t>
            </w:r>
            <w:proofErr w:type="gramStart"/>
            <w:r w:rsidR="00BB2B20">
              <w:rPr>
                <w:rFonts w:cs="Arial"/>
                <w:lang w:eastAsia="en-GB"/>
              </w:rPr>
              <w:t>announcement</w:t>
            </w:r>
            <w:proofErr w:type="gramEnd"/>
            <w:r w:rsidRPr="005B1093">
              <w:rPr>
                <w:rFonts w:cs="Arial"/>
                <w:lang w:eastAsia="en-GB"/>
              </w:rPr>
              <w:t xml:space="preserve"> </w:t>
            </w:r>
          </w:p>
          <w:p w14:paraId="08DF8890" w14:textId="5F81A209" w:rsidR="00F57F94" w:rsidRPr="005B1093" w:rsidRDefault="00F57F94" w:rsidP="00F57F94">
            <w:pPr>
              <w:pStyle w:val="ListParagraph"/>
              <w:numPr>
                <w:ilvl w:val="0"/>
                <w:numId w:val="27"/>
              </w:numPr>
              <w:rPr>
                <w:rFonts w:cs="Arial"/>
                <w:lang w:eastAsia="en-GB"/>
              </w:rPr>
            </w:pPr>
            <w:r>
              <w:rPr>
                <w:rFonts w:cs="Arial"/>
                <w:lang w:eastAsia="en-GB"/>
              </w:rPr>
              <w:t xml:space="preserve">Consider retention payments where appropriate: </w:t>
            </w:r>
            <w:r w:rsidR="003536BD">
              <w:rPr>
                <w:rFonts w:cs="Arial"/>
                <w:lang w:eastAsia="en-GB"/>
              </w:rPr>
              <w:t>OIC</w:t>
            </w:r>
            <w:r>
              <w:rPr>
                <w:rFonts w:cs="Arial"/>
                <w:lang w:eastAsia="en-GB"/>
              </w:rPr>
              <w:t xml:space="preserve"> to approve</w:t>
            </w:r>
          </w:p>
        </w:tc>
        <w:tc>
          <w:tcPr>
            <w:tcW w:w="1784" w:type="dxa"/>
          </w:tcPr>
          <w:p w14:paraId="512379A9" w14:textId="3CB1C03D" w:rsidR="00F57F94" w:rsidRDefault="003536BD" w:rsidP="00F57F94">
            <w:pPr>
              <w:rPr>
                <w:rFonts w:cs="Arial"/>
                <w:b/>
                <w:lang w:eastAsia="en-GB"/>
              </w:rPr>
            </w:pPr>
            <w:r>
              <w:rPr>
                <w:rFonts w:cs="Arial"/>
                <w:b/>
                <w:lang w:eastAsia="en-GB"/>
              </w:rPr>
              <w:lastRenderedPageBreak/>
              <w:t>OIC</w:t>
            </w:r>
          </w:p>
          <w:p w14:paraId="58FF3856" w14:textId="77777777" w:rsidR="00F57F94" w:rsidRDefault="00F57F94" w:rsidP="00F57F94">
            <w:pPr>
              <w:rPr>
                <w:rFonts w:cs="Arial"/>
                <w:b/>
                <w:lang w:eastAsia="en-GB"/>
              </w:rPr>
            </w:pPr>
          </w:p>
          <w:p w14:paraId="0286AE85" w14:textId="52212351" w:rsidR="00F57F94" w:rsidRDefault="00F57F94" w:rsidP="00F57F94">
            <w:pPr>
              <w:rPr>
                <w:rFonts w:cs="Arial"/>
                <w:b/>
                <w:lang w:eastAsia="en-GB"/>
              </w:rPr>
            </w:pPr>
            <w:r w:rsidRPr="00FB0DF9">
              <w:rPr>
                <w:rFonts w:cs="Arial"/>
                <w:lang w:eastAsia="en-GB"/>
              </w:rPr>
              <w:t>Action: CEO</w:t>
            </w:r>
          </w:p>
        </w:tc>
        <w:tc>
          <w:tcPr>
            <w:tcW w:w="706" w:type="dxa"/>
            <w:shd w:val="clear" w:color="auto" w:fill="FFCC00"/>
          </w:tcPr>
          <w:p w14:paraId="03E1CC42" w14:textId="5ACFB45F" w:rsidR="00F57F94" w:rsidRDefault="00F57F94" w:rsidP="00F57F94">
            <w:pPr>
              <w:jc w:val="center"/>
              <w:rPr>
                <w:rFonts w:cs="Arial"/>
                <w:b/>
              </w:rPr>
            </w:pPr>
            <w:r>
              <w:rPr>
                <w:rFonts w:cs="Arial"/>
                <w:b/>
              </w:rPr>
              <w:t>M</w:t>
            </w:r>
          </w:p>
        </w:tc>
        <w:tc>
          <w:tcPr>
            <w:tcW w:w="924" w:type="dxa"/>
          </w:tcPr>
          <w:p w14:paraId="0865AC57" w14:textId="28041D3F" w:rsidR="00F57F94" w:rsidRPr="00BD00A3" w:rsidRDefault="00F57F94" w:rsidP="00F57F94">
            <w:pPr>
              <w:jc w:val="center"/>
              <w:rPr>
                <w:rFonts w:cs="Arial"/>
                <w:b/>
              </w:rPr>
            </w:pPr>
            <w:r w:rsidRPr="00BD00A3">
              <w:rPr>
                <w:rFonts w:cs="Arial"/>
                <w:b/>
              </w:rPr>
              <w:t>↔</w:t>
            </w:r>
          </w:p>
        </w:tc>
      </w:tr>
    </w:tbl>
    <w:p w14:paraId="54D5C376" w14:textId="78130823" w:rsidR="003F1D43" w:rsidRDefault="00565CB4" w:rsidP="006957DB">
      <w:pPr>
        <w:rPr>
          <w:rFonts w:ascii="Arial" w:hAnsi="Arial" w:cs="Arial"/>
        </w:rPr>
      </w:pPr>
      <w:r w:rsidRPr="000A1BD0">
        <w:rPr>
          <w:noProof/>
        </w:rPr>
        <w:drawing>
          <wp:inline distT="0" distB="0" distL="0" distR="0" wp14:anchorId="0D2C17B6" wp14:editId="6F96514B">
            <wp:extent cx="29622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1076325"/>
                    </a:xfrm>
                    <a:prstGeom prst="rect">
                      <a:avLst/>
                    </a:prstGeom>
                    <a:noFill/>
                    <a:ln>
                      <a:noFill/>
                    </a:ln>
                  </pic:spPr>
                </pic:pic>
              </a:graphicData>
            </a:graphic>
          </wp:inline>
        </w:drawing>
      </w:r>
    </w:p>
    <w:sectPr w:rsidR="003F1D43" w:rsidSect="00FC3485">
      <w:headerReference w:type="default" r:id="rId12"/>
      <w:footerReference w:type="default" r:id="rId13"/>
      <w:pgSz w:w="16838" w:h="11906" w:orient="landscape"/>
      <w:pgMar w:top="879" w:right="720" w:bottom="567"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61DF" w14:textId="77777777" w:rsidR="00FF748E" w:rsidRDefault="00FF748E" w:rsidP="001C74DD">
      <w:pPr>
        <w:spacing w:after="0" w:line="240" w:lineRule="auto"/>
      </w:pPr>
      <w:r>
        <w:separator/>
      </w:r>
    </w:p>
  </w:endnote>
  <w:endnote w:type="continuationSeparator" w:id="0">
    <w:p w14:paraId="07383F0C" w14:textId="77777777" w:rsidR="00FF748E" w:rsidRDefault="00FF748E" w:rsidP="001C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807504"/>
      <w:docPartObj>
        <w:docPartGallery w:val="Page Numbers (Bottom of Page)"/>
        <w:docPartUnique/>
      </w:docPartObj>
    </w:sdtPr>
    <w:sdtEndPr>
      <w:rPr>
        <w:noProof/>
      </w:rPr>
    </w:sdtEndPr>
    <w:sdtContent>
      <w:p w14:paraId="41154057" w14:textId="64BF9390" w:rsidR="009B1FC7" w:rsidRDefault="009B1FC7" w:rsidP="001C74D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521B6D" w14:textId="77777777" w:rsidR="009B1FC7" w:rsidRDefault="009B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A33E" w14:textId="77777777" w:rsidR="00FF748E" w:rsidRDefault="00FF748E" w:rsidP="001C74DD">
      <w:pPr>
        <w:spacing w:after="0" w:line="240" w:lineRule="auto"/>
      </w:pPr>
      <w:r>
        <w:separator/>
      </w:r>
    </w:p>
  </w:footnote>
  <w:footnote w:type="continuationSeparator" w:id="0">
    <w:p w14:paraId="2BF7572F" w14:textId="77777777" w:rsidR="00FF748E" w:rsidRDefault="00FF748E" w:rsidP="001C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D6B" w14:textId="161617E9" w:rsidR="009B1FC7" w:rsidRPr="001C74DD" w:rsidRDefault="009B1FC7" w:rsidP="001C74DD">
    <w:pPr>
      <w:pStyle w:val="Header"/>
      <w:jc w:val="center"/>
      <w:rPr>
        <w:b/>
      </w:rPr>
    </w:pPr>
    <w:r w:rsidRPr="001C74DD">
      <w:rPr>
        <w:b/>
      </w:rPr>
      <w:t xml:space="preserve">Heart of the </w:t>
    </w:r>
    <w:proofErr w:type="gramStart"/>
    <w:r w:rsidRPr="001C74DD">
      <w:rPr>
        <w:b/>
      </w:rPr>
      <w:t>S</w:t>
    </w:r>
    <w:r>
      <w:rPr>
        <w:b/>
      </w:rPr>
      <w:t>outh West</w:t>
    </w:r>
    <w:proofErr w:type="gramEnd"/>
    <w:r>
      <w:rPr>
        <w:b/>
      </w:rPr>
      <w:t xml:space="preserve"> LEP – Risk Register </w:t>
    </w:r>
    <w:r w:rsidR="00202B97">
      <w:rPr>
        <w:b/>
      </w:rPr>
      <w:t>0</w:t>
    </w:r>
    <w:r w:rsidR="005B5D02">
      <w:rPr>
        <w:b/>
      </w:rPr>
      <w:t>4</w:t>
    </w:r>
    <w:r w:rsidR="001D751A">
      <w:rPr>
        <w:b/>
      </w:rPr>
      <w:t>/</w:t>
    </w:r>
    <w:r w:rsidR="00202B97">
      <w:rPr>
        <w:b/>
      </w:rPr>
      <w:t>0</w:t>
    </w:r>
    <w:r w:rsidR="00BE09FD">
      <w:rPr>
        <w:b/>
      </w:rPr>
      <w:t>4</w:t>
    </w:r>
    <w:r w:rsidR="001D751A">
      <w:rPr>
        <w:b/>
      </w:rPr>
      <w:t>/</w:t>
    </w:r>
    <w:r w:rsidR="00906D5E">
      <w:rPr>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F11"/>
    <w:multiLevelType w:val="hybridMultilevel"/>
    <w:tmpl w:val="83AE1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07508"/>
    <w:multiLevelType w:val="hybridMultilevel"/>
    <w:tmpl w:val="27ECE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F7601"/>
    <w:multiLevelType w:val="hybridMultilevel"/>
    <w:tmpl w:val="ACD0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C006D"/>
    <w:multiLevelType w:val="hybridMultilevel"/>
    <w:tmpl w:val="1BF29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23293"/>
    <w:multiLevelType w:val="hybridMultilevel"/>
    <w:tmpl w:val="F2507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D12E6"/>
    <w:multiLevelType w:val="hybridMultilevel"/>
    <w:tmpl w:val="90CA0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61CB6"/>
    <w:multiLevelType w:val="hybridMultilevel"/>
    <w:tmpl w:val="90DCC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782B42"/>
    <w:multiLevelType w:val="hybridMultilevel"/>
    <w:tmpl w:val="8870D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91348"/>
    <w:multiLevelType w:val="hybridMultilevel"/>
    <w:tmpl w:val="B534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976BC"/>
    <w:multiLevelType w:val="hybridMultilevel"/>
    <w:tmpl w:val="D3146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A73315"/>
    <w:multiLevelType w:val="hybridMultilevel"/>
    <w:tmpl w:val="F52E8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D91A97"/>
    <w:multiLevelType w:val="hybridMultilevel"/>
    <w:tmpl w:val="A8D6B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041272"/>
    <w:multiLevelType w:val="hybridMultilevel"/>
    <w:tmpl w:val="A322FCE0"/>
    <w:lvl w:ilvl="0" w:tplc="DAEC14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A0492A"/>
    <w:multiLevelType w:val="hybridMultilevel"/>
    <w:tmpl w:val="ECC049D0"/>
    <w:lvl w:ilvl="0" w:tplc="DAEC14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C822AE"/>
    <w:multiLevelType w:val="hybridMultilevel"/>
    <w:tmpl w:val="5D5E7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8B2645"/>
    <w:multiLevelType w:val="hybridMultilevel"/>
    <w:tmpl w:val="FD6468D6"/>
    <w:lvl w:ilvl="0" w:tplc="C5D076D4">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E7E42"/>
    <w:multiLevelType w:val="hybridMultilevel"/>
    <w:tmpl w:val="1CF68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900574"/>
    <w:multiLevelType w:val="hybridMultilevel"/>
    <w:tmpl w:val="E1CE2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424879"/>
    <w:multiLevelType w:val="hybridMultilevel"/>
    <w:tmpl w:val="2F90ED0A"/>
    <w:lvl w:ilvl="0" w:tplc="DAEC14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812F9E"/>
    <w:multiLevelType w:val="hybridMultilevel"/>
    <w:tmpl w:val="F9EA3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C56196"/>
    <w:multiLevelType w:val="hybridMultilevel"/>
    <w:tmpl w:val="134E0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C60A44"/>
    <w:multiLevelType w:val="hybridMultilevel"/>
    <w:tmpl w:val="367A2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CC6AA5"/>
    <w:multiLevelType w:val="hybridMultilevel"/>
    <w:tmpl w:val="13D2C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177CBE"/>
    <w:multiLevelType w:val="hybridMultilevel"/>
    <w:tmpl w:val="B9D49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69299A"/>
    <w:multiLevelType w:val="hybridMultilevel"/>
    <w:tmpl w:val="5D82C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340AE3"/>
    <w:multiLevelType w:val="hybridMultilevel"/>
    <w:tmpl w:val="577A3E62"/>
    <w:lvl w:ilvl="0" w:tplc="EF7616C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B0ADF"/>
    <w:multiLevelType w:val="hybridMultilevel"/>
    <w:tmpl w:val="D18C90A6"/>
    <w:lvl w:ilvl="0" w:tplc="FFFFFFFF">
      <w:start w:val="1"/>
      <w:numFmt w:val="bullet"/>
      <w:lvlText w:val="-"/>
      <w:lvlJc w:val="left"/>
      <w:pPr>
        <w:ind w:left="360" w:hanging="360"/>
      </w:pPr>
      <w:rPr>
        <w:rFonts w:ascii="Calibri" w:eastAsiaTheme="minorHAnsi" w:hAnsi="Calibri" w:cs="Calibri" w:hint="default"/>
      </w:rPr>
    </w:lvl>
    <w:lvl w:ilvl="1" w:tplc="7C681BB4">
      <w:start w:val="1"/>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02F18EF"/>
    <w:multiLevelType w:val="hybridMultilevel"/>
    <w:tmpl w:val="CC3CB240"/>
    <w:lvl w:ilvl="0" w:tplc="73143BDA">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106BAD"/>
    <w:multiLevelType w:val="hybridMultilevel"/>
    <w:tmpl w:val="5958E402"/>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DFD228E"/>
    <w:multiLevelType w:val="hybridMultilevel"/>
    <w:tmpl w:val="BFC47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9422243">
    <w:abstractNumId w:val="25"/>
  </w:num>
  <w:num w:numId="2" w16cid:durableId="336230687">
    <w:abstractNumId w:val="15"/>
  </w:num>
  <w:num w:numId="3" w16cid:durableId="512842998">
    <w:abstractNumId w:val="6"/>
  </w:num>
  <w:num w:numId="4" w16cid:durableId="1407916760">
    <w:abstractNumId w:val="2"/>
  </w:num>
  <w:num w:numId="5" w16cid:durableId="1324894480">
    <w:abstractNumId w:val="8"/>
  </w:num>
  <w:num w:numId="6" w16cid:durableId="209265747">
    <w:abstractNumId w:val="5"/>
  </w:num>
  <w:num w:numId="7" w16cid:durableId="1041201436">
    <w:abstractNumId w:val="20"/>
  </w:num>
  <w:num w:numId="8" w16cid:durableId="668946630">
    <w:abstractNumId w:val="7"/>
  </w:num>
  <w:num w:numId="9" w16cid:durableId="1156455658">
    <w:abstractNumId w:val="21"/>
  </w:num>
  <w:num w:numId="10" w16cid:durableId="380053336">
    <w:abstractNumId w:val="29"/>
  </w:num>
  <w:num w:numId="11" w16cid:durableId="1270971974">
    <w:abstractNumId w:val="27"/>
  </w:num>
  <w:num w:numId="12" w16cid:durableId="633028399">
    <w:abstractNumId w:val="12"/>
  </w:num>
  <w:num w:numId="13" w16cid:durableId="1053309009">
    <w:abstractNumId w:val="18"/>
  </w:num>
  <w:num w:numId="14" w16cid:durableId="524297433">
    <w:abstractNumId w:val="13"/>
  </w:num>
  <w:num w:numId="15" w16cid:durableId="475268485">
    <w:abstractNumId w:val="22"/>
  </w:num>
  <w:num w:numId="16" w16cid:durableId="459539833">
    <w:abstractNumId w:val="11"/>
  </w:num>
  <w:num w:numId="17" w16cid:durableId="1956669302">
    <w:abstractNumId w:val="23"/>
  </w:num>
  <w:num w:numId="18" w16cid:durableId="1939408174">
    <w:abstractNumId w:val="4"/>
  </w:num>
  <w:num w:numId="19" w16cid:durableId="1903640278">
    <w:abstractNumId w:val="10"/>
  </w:num>
  <w:num w:numId="20" w16cid:durableId="1704329619">
    <w:abstractNumId w:val="16"/>
  </w:num>
  <w:num w:numId="21" w16cid:durableId="1253081007">
    <w:abstractNumId w:val="0"/>
  </w:num>
  <w:num w:numId="22" w16cid:durableId="599028910">
    <w:abstractNumId w:val="9"/>
  </w:num>
  <w:num w:numId="23" w16cid:durableId="1081174823">
    <w:abstractNumId w:val="19"/>
  </w:num>
  <w:num w:numId="24" w16cid:durableId="1349678957">
    <w:abstractNumId w:val="17"/>
  </w:num>
  <w:num w:numId="25" w16cid:durableId="935133749">
    <w:abstractNumId w:val="3"/>
  </w:num>
  <w:num w:numId="26" w16cid:durableId="2019309255">
    <w:abstractNumId w:val="14"/>
  </w:num>
  <w:num w:numId="27" w16cid:durableId="833450659">
    <w:abstractNumId w:val="1"/>
  </w:num>
  <w:num w:numId="28" w16cid:durableId="1038358458">
    <w:abstractNumId w:val="28"/>
  </w:num>
  <w:num w:numId="29" w16cid:durableId="1680497979">
    <w:abstractNumId w:val="24"/>
  </w:num>
  <w:num w:numId="30" w16cid:durableId="9542870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zMDCyMDM2MjAyMDFS0lEKTi0uzszPAykwrAUAV/HosiwAAAA="/>
  </w:docVars>
  <w:rsids>
    <w:rsidRoot w:val="001C74DD"/>
    <w:rsid w:val="00002D2A"/>
    <w:rsid w:val="000060AC"/>
    <w:rsid w:val="000076DC"/>
    <w:rsid w:val="00007AF5"/>
    <w:rsid w:val="0001381E"/>
    <w:rsid w:val="0001596F"/>
    <w:rsid w:val="00016879"/>
    <w:rsid w:val="000219F8"/>
    <w:rsid w:val="00023021"/>
    <w:rsid w:val="000233C9"/>
    <w:rsid w:val="00027180"/>
    <w:rsid w:val="000275B5"/>
    <w:rsid w:val="00027DD4"/>
    <w:rsid w:val="00034049"/>
    <w:rsid w:val="00042A8D"/>
    <w:rsid w:val="00043EAD"/>
    <w:rsid w:val="00051AAB"/>
    <w:rsid w:val="00052620"/>
    <w:rsid w:val="00053484"/>
    <w:rsid w:val="00055287"/>
    <w:rsid w:val="00055CCC"/>
    <w:rsid w:val="00073085"/>
    <w:rsid w:val="00080B20"/>
    <w:rsid w:val="0008318B"/>
    <w:rsid w:val="0008583F"/>
    <w:rsid w:val="00086550"/>
    <w:rsid w:val="00086F28"/>
    <w:rsid w:val="000939F0"/>
    <w:rsid w:val="00096671"/>
    <w:rsid w:val="000A07F3"/>
    <w:rsid w:val="000A66AD"/>
    <w:rsid w:val="000B7043"/>
    <w:rsid w:val="000C0420"/>
    <w:rsid w:val="000C36D8"/>
    <w:rsid w:val="000C56B0"/>
    <w:rsid w:val="000D0C69"/>
    <w:rsid w:val="000D31C4"/>
    <w:rsid w:val="000D683B"/>
    <w:rsid w:val="000E32BC"/>
    <w:rsid w:val="000E3E7C"/>
    <w:rsid w:val="000E44E0"/>
    <w:rsid w:val="000E4858"/>
    <w:rsid w:val="000F0198"/>
    <w:rsid w:val="000F308F"/>
    <w:rsid w:val="000F6A9E"/>
    <w:rsid w:val="001039B8"/>
    <w:rsid w:val="001061D4"/>
    <w:rsid w:val="00106D78"/>
    <w:rsid w:val="00112920"/>
    <w:rsid w:val="00113259"/>
    <w:rsid w:val="00115FA7"/>
    <w:rsid w:val="00124E01"/>
    <w:rsid w:val="00132AF4"/>
    <w:rsid w:val="00132C1F"/>
    <w:rsid w:val="001378A3"/>
    <w:rsid w:val="00145A07"/>
    <w:rsid w:val="00146256"/>
    <w:rsid w:val="00146E78"/>
    <w:rsid w:val="00150325"/>
    <w:rsid w:val="00153902"/>
    <w:rsid w:val="001559E7"/>
    <w:rsid w:val="00156B0C"/>
    <w:rsid w:val="00164280"/>
    <w:rsid w:val="00164B37"/>
    <w:rsid w:val="00187290"/>
    <w:rsid w:val="001907CB"/>
    <w:rsid w:val="00194191"/>
    <w:rsid w:val="001948D8"/>
    <w:rsid w:val="00194A32"/>
    <w:rsid w:val="001958DC"/>
    <w:rsid w:val="001A5052"/>
    <w:rsid w:val="001A6B21"/>
    <w:rsid w:val="001B3889"/>
    <w:rsid w:val="001B4EE6"/>
    <w:rsid w:val="001C0C55"/>
    <w:rsid w:val="001C22D3"/>
    <w:rsid w:val="001C74DD"/>
    <w:rsid w:val="001D5FF6"/>
    <w:rsid w:val="001D751A"/>
    <w:rsid w:val="001F2D4C"/>
    <w:rsid w:val="001F51C6"/>
    <w:rsid w:val="001F5D59"/>
    <w:rsid w:val="002013E5"/>
    <w:rsid w:val="00202425"/>
    <w:rsid w:val="00202B97"/>
    <w:rsid w:val="00205760"/>
    <w:rsid w:val="00211831"/>
    <w:rsid w:val="002155E5"/>
    <w:rsid w:val="00223565"/>
    <w:rsid w:val="0022493C"/>
    <w:rsid w:val="00226001"/>
    <w:rsid w:val="00226D00"/>
    <w:rsid w:val="00232F05"/>
    <w:rsid w:val="0023360B"/>
    <w:rsid w:val="002355F6"/>
    <w:rsid w:val="00236E2D"/>
    <w:rsid w:val="00242CE2"/>
    <w:rsid w:val="00243B21"/>
    <w:rsid w:val="00244A53"/>
    <w:rsid w:val="00244EEC"/>
    <w:rsid w:val="00246BCA"/>
    <w:rsid w:val="0025324F"/>
    <w:rsid w:val="00256858"/>
    <w:rsid w:val="00260A21"/>
    <w:rsid w:val="00260D5F"/>
    <w:rsid w:val="00262CD1"/>
    <w:rsid w:val="00271A41"/>
    <w:rsid w:val="0027602C"/>
    <w:rsid w:val="0027613A"/>
    <w:rsid w:val="002779A1"/>
    <w:rsid w:val="002825F5"/>
    <w:rsid w:val="00287B64"/>
    <w:rsid w:val="00294959"/>
    <w:rsid w:val="00295961"/>
    <w:rsid w:val="00296C42"/>
    <w:rsid w:val="002A0152"/>
    <w:rsid w:val="002A0303"/>
    <w:rsid w:val="002A2122"/>
    <w:rsid w:val="002A5751"/>
    <w:rsid w:val="002B0082"/>
    <w:rsid w:val="002B5E8D"/>
    <w:rsid w:val="002B66E8"/>
    <w:rsid w:val="002C3CE8"/>
    <w:rsid w:val="002C7CBF"/>
    <w:rsid w:val="002D2121"/>
    <w:rsid w:val="002D7E7C"/>
    <w:rsid w:val="002E1157"/>
    <w:rsid w:val="002E38DB"/>
    <w:rsid w:val="002E5A52"/>
    <w:rsid w:val="002E724E"/>
    <w:rsid w:val="002F2BEE"/>
    <w:rsid w:val="0030475E"/>
    <w:rsid w:val="00306DE5"/>
    <w:rsid w:val="00310CC7"/>
    <w:rsid w:val="00313662"/>
    <w:rsid w:val="00316639"/>
    <w:rsid w:val="00321C55"/>
    <w:rsid w:val="0032493C"/>
    <w:rsid w:val="0033456B"/>
    <w:rsid w:val="003348F9"/>
    <w:rsid w:val="003353B4"/>
    <w:rsid w:val="00337305"/>
    <w:rsid w:val="00341604"/>
    <w:rsid w:val="003417B7"/>
    <w:rsid w:val="003429B7"/>
    <w:rsid w:val="00344FBC"/>
    <w:rsid w:val="00351F9B"/>
    <w:rsid w:val="0035271C"/>
    <w:rsid w:val="003536BD"/>
    <w:rsid w:val="00354315"/>
    <w:rsid w:val="0035592B"/>
    <w:rsid w:val="00355BF1"/>
    <w:rsid w:val="003637EF"/>
    <w:rsid w:val="00373ED0"/>
    <w:rsid w:val="0038691E"/>
    <w:rsid w:val="00387828"/>
    <w:rsid w:val="00390423"/>
    <w:rsid w:val="003904AC"/>
    <w:rsid w:val="00393257"/>
    <w:rsid w:val="00396BB6"/>
    <w:rsid w:val="003A3D8C"/>
    <w:rsid w:val="003A5DD6"/>
    <w:rsid w:val="003B1424"/>
    <w:rsid w:val="003B5B4D"/>
    <w:rsid w:val="003C06DA"/>
    <w:rsid w:val="003C0929"/>
    <w:rsid w:val="003C2665"/>
    <w:rsid w:val="003C3420"/>
    <w:rsid w:val="003C5307"/>
    <w:rsid w:val="003D292B"/>
    <w:rsid w:val="003D456C"/>
    <w:rsid w:val="003D519E"/>
    <w:rsid w:val="003D637A"/>
    <w:rsid w:val="003D74FE"/>
    <w:rsid w:val="003E06BF"/>
    <w:rsid w:val="003E0E99"/>
    <w:rsid w:val="003E297F"/>
    <w:rsid w:val="003E4BFF"/>
    <w:rsid w:val="003E7D68"/>
    <w:rsid w:val="003F1B68"/>
    <w:rsid w:val="003F1D43"/>
    <w:rsid w:val="003F66E0"/>
    <w:rsid w:val="00407B1A"/>
    <w:rsid w:val="00413280"/>
    <w:rsid w:val="00437D7A"/>
    <w:rsid w:val="0044051A"/>
    <w:rsid w:val="00447EDF"/>
    <w:rsid w:val="0045516D"/>
    <w:rsid w:val="0046065E"/>
    <w:rsid w:val="004616FD"/>
    <w:rsid w:val="004665F7"/>
    <w:rsid w:val="00470E0A"/>
    <w:rsid w:val="00471E4E"/>
    <w:rsid w:val="00475C5E"/>
    <w:rsid w:val="0047761B"/>
    <w:rsid w:val="004776F0"/>
    <w:rsid w:val="00481E52"/>
    <w:rsid w:val="004869F1"/>
    <w:rsid w:val="00496C8B"/>
    <w:rsid w:val="004A1800"/>
    <w:rsid w:val="004A18BA"/>
    <w:rsid w:val="004A1BA7"/>
    <w:rsid w:val="004A1DEC"/>
    <w:rsid w:val="004A2DD9"/>
    <w:rsid w:val="004A4804"/>
    <w:rsid w:val="004A64EA"/>
    <w:rsid w:val="004B166E"/>
    <w:rsid w:val="004B348A"/>
    <w:rsid w:val="004C0E6D"/>
    <w:rsid w:val="004C273C"/>
    <w:rsid w:val="004D4972"/>
    <w:rsid w:val="004D4B44"/>
    <w:rsid w:val="004D5A61"/>
    <w:rsid w:val="004D7C4C"/>
    <w:rsid w:val="004E66B5"/>
    <w:rsid w:val="004E6F08"/>
    <w:rsid w:val="004E6F94"/>
    <w:rsid w:val="004E6FE5"/>
    <w:rsid w:val="004E7E81"/>
    <w:rsid w:val="004F5F1B"/>
    <w:rsid w:val="00502EEC"/>
    <w:rsid w:val="00504639"/>
    <w:rsid w:val="00505569"/>
    <w:rsid w:val="00505A05"/>
    <w:rsid w:val="00514992"/>
    <w:rsid w:val="00515ED7"/>
    <w:rsid w:val="005160F1"/>
    <w:rsid w:val="005165EE"/>
    <w:rsid w:val="00521195"/>
    <w:rsid w:val="00527D88"/>
    <w:rsid w:val="005325F9"/>
    <w:rsid w:val="00543CDE"/>
    <w:rsid w:val="005442A5"/>
    <w:rsid w:val="00547F26"/>
    <w:rsid w:val="005568A1"/>
    <w:rsid w:val="00556EC2"/>
    <w:rsid w:val="00557052"/>
    <w:rsid w:val="00557284"/>
    <w:rsid w:val="0056248B"/>
    <w:rsid w:val="00565CB4"/>
    <w:rsid w:val="00566B5A"/>
    <w:rsid w:val="00566FA0"/>
    <w:rsid w:val="005723BF"/>
    <w:rsid w:val="005742CA"/>
    <w:rsid w:val="00577024"/>
    <w:rsid w:val="00577025"/>
    <w:rsid w:val="00577EE0"/>
    <w:rsid w:val="00580612"/>
    <w:rsid w:val="00584FC4"/>
    <w:rsid w:val="00585A46"/>
    <w:rsid w:val="0059058B"/>
    <w:rsid w:val="00592940"/>
    <w:rsid w:val="005978CB"/>
    <w:rsid w:val="005A16A6"/>
    <w:rsid w:val="005A1C5B"/>
    <w:rsid w:val="005B0959"/>
    <w:rsid w:val="005B1093"/>
    <w:rsid w:val="005B24EE"/>
    <w:rsid w:val="005B2971"/>
    <w:rsid w:val="005B3376"/>
    <w:rsid w:val="005B4CB3"/>
    <w:rsid w:val="005B5942"/>
    <w:rsid w:val="005B5D02"/>
    <w:rsid w:val="005B5E9D"/>
    <w:rsid w:val="005C0B90"/>
    <w:rsid w:val="005C0D8F"/>
    <w:rsid w:val="005C0EB2"/>
    <w:rsid w:val="005C1DDA"/>
    <w:rsid w:val="005C1E7A"/>
    <w:rsid w:val="005D2B11"/>
    <w:rsid w:val="005D39F5"/>
    <w:rsid w:val="005D42FD"/>
    <w:rsid w:val="005D65FA"/>
    <w:rsid w:val="005D6ADB"/>
    <w:rsid w:val="005D7317"/>
    <w:rsid w:val="005E5329"/>
    <w:rsid w:val="005E60BB"/>
    <w:rsid w:val="005F7917"/>
    <w:rsid w:val="0060712D"/>
    <w:rsid w:val="00607C90"/>
    <w:rsid w:val="006129C3"/>
    <w:rsid w:val="00616255"/>
    <w:rsid w:val="006164DE"/>
    <w:rsid w:val="006171C4"/>
    <w:rsid w:val="00622BD3"/>
    <w:rsid w:val="00623523"/>
    <w:rsid w:val="00632771"/>
    <w:rsid w:val="00632833"/>
    <w:rsid w:val="006329FD"/>
    <w:rsid w:val="00633077"/>
    <w:rsid w:val="006408D5"/>
    <w:rsid w:val="00641F46"/>
    <w:rsid w:val="0064477B"/>
    <w:rsid w:val="00644815"/>
    <w:rsid w:val="00645249"/>
    <w:rsid w:val="00645C38"/>
    <w:rsid w:val="00646E5B"/>
    <w:rsid w:val="00651B10"/>
    <w:rsid w:val="00652F47"/>
    <w:rsid w:val="0065398C"/>
    <w:rsid w:val="00654A36"/>
    <w:rsid w:val="00654AD3"/>
    <w:rsid w:val="006639B7"/>
    <w:rsid w:val="00664DCF"/>
    <w:rsid w:val="00665533"/>
    <w:rsid w:val="006665B3"/>
    <w:rsid w:val="006702E5"/>
    <w:rsid w:val="006719B6"/>
    <w:rsid w:val="006736BF"/>
    <w:rsid w:val="00674F69"/>
    <w:rsid w:val="00675492"/>
    <w:rsid w:val="006767B2"/>
    <w:rsid w:val="00677DD2"/>
    <w:rsid w:val="00684A99"/>
    <w:rsid w:val="00691460"/>
    <w:rsid w:val="00691DCA"/>
    <w:rsid w:val="006948ED"/>
    <w:rsid w:val="00694E37"/>
    <w:rsid w:val="006957DB"/>
    <w:rsid w:val="00697546"/>
    <w:rsid w:val="006A0ADD"/>
    <w:rsid w:val="006A29CC"/>
    <w:rsid w:val="006B449B"/>
    <w:rsid w:val="006C3DAC"/>
    <w:rsid w:val="006D3534"/>
    <w:rsid w:val="006D7564"/>
    <w:rsid w:val="006E6DF2"/>
    <w:rsid w:val="006F389E"/>
    <w:rsid w:val="006F52F2"/>
    <w:rsid w:val="0070386E"/>
    <w:rsid w:val="00705A40"/>
    <w:rsid w:val="00711F6E"/>
    <w:rsid w:val="00720491"/>
    <w:rsid w:val="007206E7"/>
    <w:rsid w:val="0072100A"/>
    <w:rsid w:val="007229BB"/>
    <w:rsid w:val="00730EEE"/>
    <w:rsid w:val="00731A4F"/>
    <w:rsid w:val="0073369B"/>
    <w:rsid w:val="00734B0E"/>
    <w:rsid w:val="00735662"/>
    <w:rsid w:val="00737704"/>
    <w:rsid w:val="0074108F"/>
    <w:rsid w:val="00742188"/>
    <w:rsid w:val="007463C1"/>
    <w:rsid w:val="00746D8A"/>
    <w:rsid w:val="007553C0"/>
    <w:rsid w:val="007615AF"/>
    <w:rsid w:val="00765F0E"/>
    <w:rsid w:val="007738F1"/>
    <w:rsid w:val="0077492E"/>
    <w:rsid w:val="00774CDB"/>
    <w:rsid w:val="00776013"/>
    <w:rsid w:val="0078374B"/>
    <w:rsid w:val="00785BCB"/>
    <w:rsid w:val="00786511"/>
    <w:rsid w:val="0079497E"/>
    <w:rsid w:val="007A4070"/>
    <w:rsid w:val="007A52ED"/>
    <w:rsid w:val="007B41C8"/>
    <w:rsid w:val="007B7F6E"/>
    <w:rsid w:val="007C3EEA"/>
    <w:rsid w:val="007C483D"/>
    <w:rsid w:val="007D1F27"/>
    <w:rsid w:val="007E6F37"/>
    <w:rsid w:val="007F0B6D"/>
    <w:rsid w:val="0080054B"/>
    <w:rsid w:val="00801CA6"/>
    <w:rsid w:val="00802038"/>
    <w:rsid w:val="00804809"/>
    <w:rsid w:val="008050E1"/>
    <w:rsid w:val="00806720"/>
    <w:rsid w:val="00812D71"/>
    <w:rsid w:val="0081305B"/>
    <w:rsid w:val="008130BB"/>
    <w:rsid w:val="008134C8"/>
    <w:rsid w:val="00813AE9"/>
    <w:rsid w:val="00814B79"/>
    <w:rsid w:val="00821CFB"/>
    <w:rsid w:val="00825D00"/>
    <w:rsid w:val="00830C8C"/>
    <w:rsid w:val="00832181"/>
    <w:rsid w:val="008342F6"/>
    <w:rsid w:val="00841FFC"/>
    <w:rsid w:val="00842FA4"/>
    <w:rsid w:val="008437F5"/>
    <w:rsid w:val="008449F9"/>
    <w:rsid w:val="008501DE"/>
    <w:rsid w:val="00850948"/>
    <w:rsid w:val="00852364"/>
    <w:rsid w:val="00855BE4"/>
    <w:rsid w:val="00857168"/>
    <w:rsid w:val="00861472"/>
    <w:rsid w:val="0087259E"/>
    <w:rsid w:val="00874E89"/>
    <w:rsid w:val="00875E41"/>
    <w:rsid w:val="00877E04"/>
    <w:rsid w:val="00881D2E"/>
    <w:rsid w:val="00882019"/>
    <w:rsid w:val="0088253E"/>
    <w:rsid w:val="00882C69"/>
    <w:rsid w:val="008910B3"/>
    <w:rsid w:val="008A1EE5"/>
    <w:rsid w:val="008A370D"/>
    <w:rsid w:val="008A5134"/>
    <w:rsid w:val="008B2203"/>
    <w:rsid w:val="008B352B"/>
    <w:rsid w:val="008B41E7"/>
    <w:rsid w:val="008B5622"/>
    <w:rsid w:val="008B5BAD"/>
    <w:rsid w:val="008B60DD"/>
    <w:rsid w:val="008B6E61"/>
    <w:rsid w:val="008C5A94"/>
    <w:rsid w:val="008C5BA3"/>
    <w:rsid w:val="008D11EE"/>
    <w:rsid w:val="008D1574"/>
    <w:rsid w:val="008D3865"/>
    <w:rsid w:val="008D3A94"/>
    <w:rsid w:val="008D3EB9"/>
    <w:rsid w:val="008E4BFB"/>
    <w:rsid w:val="008E4D5C"/>
    <w:rsid w:val="008E6CAA"/>
    <w:rsid w:val="008F0D30"/>
    <w:rsid w:val="008F2D04"/>
    <w:rsid w:val="008F4035"/>
    <w:rsid w:val="008F5B24"/>
    <w:rsid w:val="008F74F5"/>
    <w:rsid w:val="00900663"/>
    <w:rsid w:val="00906294"/>
    <w:rsid w:val="00906D5E"/>
    <w:rsid w:val="00911744"/>
    <w:rsid w:val="009150E0"/>
    <w:rsid w:val="0092107F"/>
    <w:rsid w:val="00923B66"/>
    <w:rsid w:val="00926D25"/>
    <w:rsid w:val="00931AD5"/>
    <w:rsid w:val="00935A4B"/>
    <w:rsid w:val="00943E14"/>
    <w:rsid w:val="0095700C"/>
    <w:rsid w:val="0096104D"/>
    <w:rsid w:val="00962B96"/>
    <w:rsid w:val="00966425"/>
    <w:rsid w:val="00966920"/>
    <w:rsid w:val="0096711A"/>
    <w:rsid w:val="00972AE8"/>
    <w:rsid w:val="00977084"/>
    <w:rsid w:val="009776CA"/>
    <w:rsid w:val="009812CD"/>
    <w:rsid w:val="009843FB"/>
    <w:rsid w:val="00992F76"/>
    <w:rsid w:val="00994906"/>
    <w:rsid w:val="00994B92"/>
    <w:rsid w:val="009959A9"/>
    <w:rsid w:val="009A2D82"/>
    <w:rsid w:val="009A353C"/>
    <w:rsid w:val="009A40D8"/>
    <w:rsid w:val="009A685F"/>
    <w:rsid w:val="009B1FC7"/>
    <w:rsid w:val="009B2B9D"/>
    <w:rsid w:val="009B3A96"/>
    <w:rsid w:val="009C3D68"/>
    <w:rsid w:val="009C5306"/>
    <w:rsid w:val="009C71BF"/>
    <w:rsid w:val="009D2108"/>
    <w:rsid w:val="009D762D"/>
    <w:rsid w:val="009E6151"/>
    <w:rsid w:val="009E7613"/>
    <w:rsid w:val="009F1BBE"/>
    <w:rsid w:val="009F463F"/>
    <w:rsid w:val="009F735B"/>
    <w:rsid w:val="00A01C7D"/>
    <w:rsid w:val="00A064AD"/>
    <w:rsid w:val="00A07334"/>
    <w:rsid w:val="00A12588"/>
    <w:rsid w:val="00A13E19"/>
    <w:rsid w:val="00A140D8"/>
    <w:rsid w:val="00A15150"/>
    <w:rsid w:val="00A15F3A"/>
    <w:rsid w:val="00A16ABE"/>
    <w:rsid w:val="00A21B2E"/>
    <w:rsid w:val="00A30E7A"/>
    <w:rsid w:val="00A3260C"/>
    <w:rsid w:val="00A33E11"/>
    <w:rsid w:val="00A357E7"/>
    <w:rsid w:val="00A36B02"/>
    <w:rsid w:val="00A40FA1"/>
    <w:rsid w:val="00A47908"/>
    <w:rsid w:val="00A5710A"/>
    <w:rsid w:val="00A609E1"/>
    <w:rsid w:val="00A72BE3"/>
    <w:rsid w:val="00A745B3"/>
    <w:rsid w:val="00A80536"/>
    <w:rsid w:val="00A815AA"/>
    <w:rsid w:val="00A87CF6"/>
    <w:rsid w:val="00AA0E3B"/>
    <w:rsid w:val="00AA15B5"/>
    <w:rsid w:val="00AA2248"/>
    <w:rsid w:val="00AA2A29"/>
    <w:rsid w:val="00AA2A9B"/>
    <w:rsid w:val="00AA7130"/>
    <w:rsid w:val="00AB0997"/>
    <w:rsid w:val="00AB1D16"/>
    <w:rsid w:val="00AB74C3"/>
    <w:rsid w:val="00AC2AF1"/>
    <w:rsid w:val="00AC3E3D"/>
    <w:rsid w:val="00AC66EE"/>
    <w:rsid w:val="00AD19AB"/>
    <w:rsid w:val="00AD41D2"/>
    <w:rsid w:val="00AE0698"/>
    <w:rsid w:val="00AE743F"/>
    <w:rsid w:val="00AF4D89"/>
    <w:rsid w:val="00B003DC"/>
    <w:rsid w:val="00B01A34"/>
    <w:rsid w:val="00B117C7"/>
    <w:rsid w:val="00B133F5"/>
    <w:rsid w:val="00B139E3"/>
    <w:rsid w:val="00B146FC"/>
    <w:rsid w:val="00B149FC"/>
    <w:rsid w:val="00B14DC4"/>
    <w:rsid w:val="00B14FE7"/>
    <w:rsid w:val="00B15FB4"/>
    <w:rsid w:val="00B167C0"/>
    <w:rsid w:val="00B169A8"/>
    <w:rsid w:val="00B178F4"/>
    <w:rsid w:val="00B20A07"/>
    <w:rsid w:val="00B237F0"/>
    <w:rsid w:val="00B24EB6"/>
    <w:rsid w:val="00B30D84"/>
    <w:rsid w:val="00B31552"/>
    <w:rsid w:val="00B35CB2"/>
    <w:rsid w:val="00B36144"/>
    <w:rsid w:val="00B44313"/>
    <w:rsid w:val="00B45B67"/>
    <w:rsid w:val="00B46C01"/>
    <w:rsid w:val="00B472EB"/>
    <w:rsid w:val="00B52CEA"/>
    <w:rsid w:val="00B5400E"/>
    <w:rsid w:val="00B553EC"/>
    <w:rsid w:val="00B6541A"/>
    <w:rsid w:val="00B70CBA"/>
    <w:rsid w:val="00B72E73"/>
    <w:rsid w:val="00B817F8"/>
    <w:rsid w:val="00B861F8"/>
    <w:rsid w:val="00B876F7"/>
    <w:rsid w:val="00B939F3"/>
    <w:rsid w:val="00B93AE5"/>
    <w:rsid w:val="00B93B12"/>
    <w:rsid w:val="00B95C1C"/>
    <w:rsid w:val="00BA00BC"/>
    <w:rsid w:val="00BA0C41"/>
    <w:rsid w:val="00BA65D0"/>
    <w:rsid w:val="00BA7124"/>
    <w:rsid w:val="00BB048C"/>
    <w:rsid w:val="00BB1215"/>
    <w:rsid w:val="00BB2B20"/>
    <w:rsid w:val="00BB33BB"/>
    <w:rsid w:val="00BB7CBA"/>
    <w:rsid w:val="00BC118D"/>
    <w:rsid w:val="00BC1207"/>
    <w:rsid w:val="00BC2096"/>
    <w:rsid w:val="00BC2B1E"/>
    <w:rsid w:val="00BC360C"/>
    <w:rsid w:val="00BC4405"/>
    <w:rsid w:val="00BD00A3"/>
    <w:rsid w:val="00BD1142"/>
    <w:rsid w:val="00BD14BE"/>
    <w:rsid w:val="00BD569C"/>
    <w:rsid w:val="00BE09FD"/>
    <w:rsid w:val="00BE1533"/>
    <w:rsid w:val="00BE6DDE"/>
    <w:rsid w:val="00BE7077"/>
    <w:rsid w:val="00BF0AAC"/>
    <w:rsid w:val="00BF1731"/>
    <w:rsid w:val="00BF1B93"/>
    <w:rsid w:val="00BF1C78"/>
    <w:rsid w:val="00C06E59"/>
    <w:rsid w:val="00C108C4"/>
    <w:rsid w:val="00C11D7F"/>
    <w:rsid w:val="00C11FB3"/>
    <w:rsid w:val="00C1362E"/>
    <w:rsid w:val="00C13E4F"/>
    <w:rsid w:val="00C16FBC"/>
    <w:rsid w:val="00C17CF9"/>
    <w:rsid w:val="00C24249"/>
    <w:rsid w:val="00C27F6B"/>
    <w:rsid w:val="00C30512"/>
    <w:rsid w:val="00C316BA"/>
    <w:rsid w:val="00C352AB"/>
    <w:rsid w:val="00C419B4"/>
    <w:rsid w:val="00C41BEF"/>
    <w:rsid w:val="00C45220"/>
    <w:rsid w:val="00C46013"/>
    <w:rsid w:val="00C47EB8"/>
    <w:rsid w:val="00C51874"/>
    <w:rsid w:val="00C52723"/>
    <w:rsid w:val="00C52DFD"/>
    <w:rsid w:val="00C54ED2"/>
    <w:rsid w:val="00C63D1F"/>
    <w:rsid w:val="00C64EE3"/>
    <w:rsid w:val="00C70B24"/>
    <w:rsid w:val="00C7414A"/>
    <w:rsid w:val="00C75616"/>
    <w:rsid w:val="00C75852"/>
    <w:rsid w:val="00C7708D"/>
    <w:rsid w:val="00C7733A"/>
    <w:rsid w:val="00C82B21"/>
    <w:rsid w:val="00C83632"/>
    <w:rsid w:val="00C84F6D"/>
    <w:rsid w:val="00C85B03"/>
    <w:rsid w:val="00C864DA"/>
    <w:rsid w:val="00C91FED"/>
    <w:rsid w:val="00C948A9"/>
    <w:rsid w:val="00C966F7"/>
    <w:rsid w:val="00C976AF"/>
    <w:rsid w:val="00CA63BB"/>
    <w:rsid w:val="00CA74C6"/>
    <w:rsid w:val="00CA7B3E"/>
    <w:rsid w:val="00CB6D59"/>
    <w:rsid w:val="00CB701E"/>
    <w:rsid w:val="00CB79C2"/>
    <w:rsid w:val="00CC2126"/>
    <w:rsid w:val="00CC46BE"/>
    <w:rsid w:val="00CC5C32"/>
    <w:rsid w:val="00CD065E"/>
    <w:rsid w:val="00CD2540"/>
    <w:rsid w:val="00CD2FF5"/>
    <w:rsid w:val="00CD4E2B"/>
    <w:rsid w:val="00CE2984"/>
    <w:rsid w:val="00CF2427"/>
    <w:rsid w:val="00D01F5B"/>
    <w:rsid w:val="00D02B2E"/>
    <w:rsid w:val="00D03E8B"/>
    <w:rsid w:val="00D05863"/>
    <w:rsid w:val="00D06620"/>
    <w:rsid w:val="00D068CC"/>
    <w:rsid w:val="00D11D9F"/>
    <w:rsid w:val="00D121F6"/>
    <w:rsid w:val="00D12EC0"/>
    <w:rsid w:val="00D133A9"/>
    <w:rsid w:val="00D13706"/>
    <w:rsid w:val="00D1555C"/>
    <w:rsid w:val="00D22CA9"/>
    <w:rsid w:val="00D23127"/>
    <w:rsid w:val="00D26FE8"/>
    <w:rsid w:val="00D327FD"/>
    <w:rsid w:val="00D32D47"/>
    <w:rsid w:val="00D34199"/>
    <w:rsid w:val="00D34CB6"/>
    <w:rsid w:val="00D36A29"/>
    <w:rsid w:val="00D37566"/>
    <w:rsid w:val="00D443CA"/>
    <w:rsid w:val="00D45658"/>
    <w:rsid w:val="00D467CA"/>
    <w:rsid w:val="00D5255A"/>
    <w:rsid w:val="00D5318C"/>
    <w:rsid w:val="00D57034"/>
    <w:rsid w:val="00D6259B"/>
    <w:rsid w:val="00D65594"/>
    <w:rsid w:val="00D655B3"/>
    <w:rsid w:val="00D67EFF"/>
    <w:rsid w:val="00D77B19"/>
    <w:rsid w:val="00D82DEF"/>
    <w:rsid w:val="00D97EF2"/>
    <w:rsid w:val="00DA1EB5"/>
    <w:rsid w:val="00DA4C39"/>
    <w:rsid w:val="00DA6D69"/>
    <w:rsid w:val="00DA75A1"/>
    <w:rsid w:val="00DB46B6"/>
    <w:rsid w:val="00DB47A2"/>
    <w:rsid w:val="00DB4F4A"/>
    <w:rsid w:val="00DC26F7"/>
    <w:rsid w:val="00DC68D6"/>
    <w:rsid w:val="00DD1409"/>
    <w:rsid w:val="00DD28DB"/>
    <w:rsid w:val="00DD7AA6"/>
    <w:rsid w:val="00DE0960"/>
    <w:rsid w:val="00DE1D39"/>
    <w:rsid w:val="00DE5C79"/>
    <w:rsid w:val="00DF0D77"/>
    <w:rsid w:val="00DF26B1"/>
    <w:rsid w:val="00DF48F4"/>
    <w:rsid w:val="00DF7B89"/>
    <w:rsid w:val="00E003A8"/>
    <w:rsid w:val="00E10A5F"/>
    <w:rsid w:val="00E1642A"/>
    <w:rsid w:val="00E16A4A"/>
    <w:rsid w:val="00E16ECA"/>
    <w:rsid w:val="00E178A6"/>
    <w:rsid w:val="00E17BEF"/>
    <w:rsid w:val="00E22BCD"/>
    <w:rsid w:val="00E2337E"/>
    <w:rsid w:val="00E27B63"/>
    <w:rsid w:val="00E32B62"/>
    <w:rsid w:val="00E361D3"/>
    <w:rsid w:val="00E364C4"/>
    <w:rsid w:val="00E45AAC"/>
    <w:rsid w:val="00E46B6F"/>
    <w:rsid w:val="00E478E2"/>
    <w:rsid w:val="00E51861"/>
    <w:rsid w:val="00E51E5B"/>
    <w:rsid w:val="00E52127"/>
    <w:rsid w:val="00E55BAC"/>
    <w:rsid w:val="00E5671C"/>
    <w:rsid w:val="00E638DF"/>
    <w:rsid w:val="00E63DB2"/>
    <w:rsid w:val="00E72F9C"/>
    <w:rsid w:val="00E76FFA"/>
    <w:rsid w:val="00E80916"/>
    <w:rsid w:val="00E8246A"/>
    <w:rsid w:val="00E83E21"/>
    <w:rsid w:val="00E8500C"/>
    <w:rsid w:val="00E90767"/>
    <w:rsid w:val="00E91489"/>
    <w:rsid w:val="00E917A8"/>
    <w:rsid w:val="00E91D6F"/>
    <w:rsid w:val="00E9544F"/>
    <w:rsid w:val="00E95749"/>
    <w:rsid w:val="00EA3E59"/>
    <w:rsid w:val="00EA5F49"/>
    <w:rsid w:val="00EB49ED"/>
    <w:rsid w:val="00EB6CC7"/>
    <w:rsid w:val="00EC0A23"/>
    <w:rsid w:val="00EC1696"/>
    <w:rsid w:val="00EC4509"/>
    <w:rsid w:val="00EC531B"/>
    <w:rsid w:val="00EC5541"/>
    <w:rsid w:val="00ED106F"/>
    <w:rsid w:val="00ED3DDE"/>
    <w:rsid w:val="00ED5E38"/>
    <w:rsid w:val="00ED6F13"/>
    <w:rsid w:val="00EE168C"/>
    <w:rsid w:val="00EE1C1D"/>
    <w:rsid w:val="00EE1CA0"/>
    <w:rsid w:val="00EE65FE"/>
    <w:rsid w:val="00EE74E5"/>
    <w:rsid w:val="00EF0A27"/>
    <w:rsid w:val="00F05EC1"/>
    <w:rsid w:val="00F10B7C"/>
    <w:rsid w:val="00F14E30"/>
    <w:rsid w:val="00F15EA7"/>
    <w:rsid w:val="00F22AB6"/>
    <w:rsid w:val="00F27DB2"/>
    <w:rsid w:val="00F31B67"/>
    <w:rsid w:val="00F34EAE"/>
    <w:rsid w:val="00F37BD1"/>
    <w:rsid w:val="00F37C21"/>
    <w:rsid w:val="00F42A16"/>
    <w:rsid w:val="00F51387"/>
    <w:rsid w:val="00F51783"/>
    <w:rsid w:val="00F52B68"/>
    <w:rsid w:val="00F57F94"/>
    <w:rsid w:val="00F63A36"/>
    <w:rsid w:val="00F63A43"/>
    <w:rsid w:val="00F64451"/>
    <w:rsid w:val="00F65351"/>
    <w:rsid w:val="00F70BDD"/>
    <w:rsid w:val="00F735D9"/>
    <w:rsid w:val="00F75429"/>
    <w:rsid w:val="00F81427"/>
    <w:rsid w:val="00F81809"/>
    <w:rsid w:val="00F81D65"/>
    <w:rsid w:val="00F83DEB"/>
    <w:rsid w:val="00F85087"/>
    <w:rsid w:val="00F96B90"/>
    <w:rsid w:val="00FA4A53"/>
    <w:rsid w:val="00FA661C"/>
    <w:rsid w:val="00FB0DF9"/>
    <w:rsid w:val="00FB3680"/>
    <w:rsid w:val="00FB46CB"/>
    <w:rsid w:val="00FB518B"/>
    <w:rsid w:val="00FB54CE"/>
    <w:rsid w:val="00FB5825"/>
    <w:rsid w:val="00FB6513"/>
    <w:rsid w:val="00FC26E0"/>
    <w:rsid w:val="00FC3485"/>
    <w:rsid w:val="00FC51C1"/>
    <w:rsid w:val="00FC557A"/>
    <w:rsid w:val="00FC6E2C"/>
    <w:rsid w:val="00FD4A6E"/>
    <w:rsid w:val="00FD4B35"/>
    <w:rsid w:val="00FD54EE"/>
    <w:rsid w:val="00FE64AF"/>
    <w:rsid w:val="00FF1B07"/>
    <w:rsid w:val="00FF3BCA"/>
    <w:rsid w:val="00FF4210"/>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C184A"/>
  <w15:chartTrackingRefBased/>
  <w15:docId w15:val="{0C9D3719-32A7-447A-9F85-C7D24348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DD"/>
  </w:style>
  <w:style w:type="paragraph" w:styleId="Footer">
    <w:name w:val="footer"/>
    <w:basedOn w:val="Normal"/>
    <w:link w:val="FooterChar"/>
    <w:uiPriority w:val="99"/>
    <w:unhideWhenUsed/>
    <w:rsid w:val="001C7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DD"/>
  </w:style>
  <w:style w:type="table" w:styleId="TableGrid">
    <w:name w:val="Table Grid"/>
    <w:basedOn w:val="TableNormal"/>
    <w:uiPriority w:val="39"/>
    <w:rsid w:val="001C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99"/>
    <w:rPr>
      <w:rFonts w:ascii="Segoe UI" w:hAnsi="Segoe UI" w:cs="Segoe UI"/>
      <w:sz w:val="18"/>
      <w:szCs w:val="18"/>
    </w:rPr>
  </w:style>
  <w:style w:type="paragraph" w:styleId="ListParagraph">
    <w:name w:val="List Paragraph"/>
    <w:basedOn w:val="Normal"/>
    <w:uiPriority w:val="34"/>
    <w:qFormat/>
    <w:rsid w:val="00E27B63"/>
    <w:pPr>
      <w:ind w:left="720"/>
      <w:contextualSpacing/>
    </w:pPr>
  </w:style>
  <w:style w:type="character" w:styleId="CommentReference">
    <w:name w:val="annotation reference"/>
    <w:basedOn w:val="DefaultParagraphFont"/>
    <w:uiPriority w:val="99"/>
    <w:semiHidden/>
    <w:unhideWhenUsed/>
    <w:rsid w:val="00BE7077"/>
    <w:rPr>
      <w:sz w:val="16"/>
      <w:szCs w:val="16"/>
    </w:rPr>
  </w:style>
  <w:style w:type="paragraph" w:styleId="CommentText">
    <w:name w:val="annotation text"/>
    <w:basedOn w:val="Normal"/>
    <w:link w:val="CommentTextChar"/>
    <w:uiPriority w:val="99"/>
    <w:unhideWhenUsed/>
    <w:rsid w:val="00BE7077"/>
    <w:pPr>
      <w:spacing w:line="240" w:lineRule="auto"/>
    </w:pPr>
    <w:rPr>
      <w:sz w:val="20"/>
      <w:szCs w:val="20"/>
    </w:rPr>
  </w:style>
  <w:style w:type="character" w:customStyle="1" w:styleId="CommentTextChar">
    <w:name w:val="Comment Text Char"/>
    <w:basedOn w:val="DefaultParagraphFont"/>
    <w:link w:val="CommentText"/>
    <w:uiPriority w:val="99"/>
    <w:rsid w:val="00BE7077"/>
    <w:rPr>
      <w:sz w:val="20"/>
      <w:szCs w:val="20"/>
    </w:rPr>
  </w:style>
  <w:style w:type="paragraph" w:styleId="CommentSubject">
    <w:name w:val="annotation subject"/>
    <w:basedOn w:val="CommentText"/>
    <w:next w:val="CommentText"/>
    <w:link w:val="CommentSubjectChar"/>
    <w:uiPriority w:val="99"/>
    <w:semiHidden/>
    <w:unhideWhenUsed/>
    <w:rsid w:val="00BE7077"/>
    <w:rPr>
      <w:b/>
      <w:bCs/>
    </w:rPr>
  </w:style>
  <w:style w:type="character" w:customStyle="1" w:styleId="CommentSubjectChar">
    <w:name w:val="Comment Subject Char"/>
    <w:basedOn w:val="CommentTextChar"/>
    <w:link w:val="CommentSubject"/>
    <w:uiPriority w:val="99"/>
    <w:semiHidden/>
    <w:rsid w:val="00BE7077"/>
    <w:rPr>
      <w:b/>
      <w:bCs/>
      <w:sz w:val="20"/>
      <w:szCs w:val="20"/>
    </w:rPr>
  </w:style>
  <w:style w:type="paragraph" w:styleId="NormalWeb">
    <w:name w:val="Normal (Web)"/>
    <w:basedOn w:val="Normal"/>
    <w:uiPriority w:val="99"/>
    <w:semiHidden/>
    <w:unhideWhenUsed/>
    <w:rsid w:val="00F10B7C"/>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14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9347">
      <w:bodyDiv w:val="1"/>
      <w:marLeft w:val="0"/>
      <w:marRight w:val="0"/>
      <w:marTop w:val="0"/>
      <w:marBottom w:val="0"/>
      <w:divBdr>
        <w:top w:val="none" w:sz="0" w:space="0" w:color="auto"/>
        <w:left w:val="none" w:sz="0" w:space="0" w:color="auto"/>
        <w:bottom w:val="none" w:sz="0" w:space="0" w:color="auto"/>
        <w:right w:val="none" w:sz="0" w:space="0" w:color="auto"/>
      </w:divBdr>
    </w:div>
    <w:div w:id="7406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ACBFEF73DEF479BBBAD1C8DEFC6FA" ma:contentTypeVersion="16" ma:contentTypeDescription="Create a new document." ma:contentTypeScope="" ma:versionID="e616865e9d07d98a2c5774f60740cd52">
  <xsd:schema xmlns:xsd="http://www.w3.org/2001/XMLSchema" xmlns:xs="http://www.w3.org/2001/XMLSchema" xmlns:p="http://schemas.microsoft.com/office/2006/metadata/properties" xmlns:ns2="03baa6a3-f708-4467-9f52-f586c31036b4" xmlns:ns3="8f5a3317-e2c4-40c3-b9b9-8beeb61d81eb" targetNamespace="http://schemas.microsoft.com/office/2006/metadata/properties" ma:root="true" ma:fieldsID="2cc0965dfc4b8d466a200ee832a2a28f" ns2:_="" ns3:_="">
    <xsd:import namespace="03baa6a3-f708-4467-9f52-f586c31036b4"/>
    <xsd:import namespace="8f5a3317-e2c4-40c3-b9b9-8beeb61d81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aa6a3-f708-4467-9f52-f586c3103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3e0a968-d4b8-4e09-b0a1-ca7948486d21}" ma:internalName="TaxCatchAll" ma:showField="CatchAllData" ma:web="03baa6a3-f708-4467-9f52-f586c31036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5a3317-e2c4-40c3-b9b9-8beeb61d81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4f773-2e71-465d-876c-25bbcdcf632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baa6a3-f708-4467-9f52-f586c31036b4" xsi:nil="true"/>
    <lcf76f155ced4ddcb4097134ff3c332f xmlns="8f5a3317-e2c4-40c3-b9b9-8beeb61d81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DB58-F993-480E-ABC4-E55BFEE8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aa6a3-f708-4467-9f52-f586c31036b4"/>
    <ds:schemaRef ds:uri="8f5a3317-e2c4-40c3-b9b9-8beeb61d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5A37C-5792-4706-9EAF-7F3ABC60C121}">
  <ds:schemaRefs>
    <ds:schemaRef ds:uri="http://schemas.microsoft.com/office/2006/metadata/properties"/>
    <ds:schemaRef ds:uri="http://schemas.microsoft.com/office/infopath/2007/PartnerControls"/>
    <ds:schemaRef ds:uri="03baa6a3-f708-4467-9f52-f586c31036b4"/>
    <ds:schemaRef ds:uri="8f5a3317-e2c4-40c3-b9b9-8beeb61d81eb"/>
  </ds:schemaRefs>
</ds:datastoreItem>
</file>

<file path=customXml/itemProps3.xml><?xml version="1.0" encoding="utf-8"?>
<ds:datastoreItem xmlns:ds="http://schemas.openxmlformats.org/officeDocument/2006/customXml" ds:itemID="{62817551-62CC-4776-BA01-648E528915D8}">
  <ds:schemaRefs>
    <ds:schemaRef ds:uri="http://schemas.microsoft.com/sharepoint/v3/contenttype/forms"/>
  </ds:schemaRefs>
</ds:datastoreItem>
</file>

<file path=customXml/itemProps4.xml><?xml version="1.0" encoding="utf-8"?>
<ds:datastoreItem xmlns:ds="http://schemas.openxmlformats.org/officeDocument/2006/customXml" ds:itemID="{0E413E65-35C1-4012-A8B0-1A212B4B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Taylor</dc:creator>
  <cp:keywords/>
  <dc:description/>
  <cp:lastModifiedBy>Janet Powell</cp:lastModifiedBy>
  <cp:revision>6</cp:revision>
  <cp:lastPrinted>2023-04-11T09:51:00Z</cp:lastPrinted>
  <dcterms:created xsi:type="dcterms:W3CDTF">2023-04-04T12:29:00Z</dcterms:created>
  <dcterms:modified xsi:type="dcterms:W3CDTF">2023-04-11T09:51:00Z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0x0101003B5ACBFEF73DEF479BBBAD1C8DEFC6FA</vt:lpwstr>
  </property>
  <property fmtid="{D5CDD505-2E9C-101B-9397-08002B2CF9AE}" pid="3" name="MediaServiceImageTags">
    <vt:lpwstr/>
  </property>
</Properties>
</file>