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FD7" w:rsidRPr="00E67C18" w:rsidRDefault="00AE0FD7" w:rsidP="00AE0FD7">
      <w:pPr>
        <w:rPr>
          <w:rFonts w:cs="Arial"/>
          <w:b/>
          <w:sz w:val="24"/>
          <w:u w:val="single"/>
        </w:rPr>
      </w:pPr>
      <w:r w:rsidRPr="00E67C18">
        <w:rPr>
          <w:rFonts w:cs="Arial"/>
          <w:b/>
          <w:sz w:val="24"/>
          <w:u w:val="single"/>
        </w:rPr>
        <w:t xml:space="preserve">Strategic Investment Panel </w:t>
      </w:r>
      <w:r w:rsidR="0042329F">
        <w:rPr>
          <w:rFonts w:cs="Arial"/>
          <w:b/>
          <w:sz w:val="24"/>
          <w:u w:val="single"/>
        </w:rPr>
        <w:t>5</w:t>
      </w:r>
      <w:r w:rsidR="0042329F" w:rsidRPr="0042329F">
        <w:rPr>
          <w:rFonts w:cs="Arial"/>
          <w:b/>
          <w:sz w:val="24"/>
          <w:u w:val="single"/>
          <w:vertAlign w:val="superscript"/>
        </w:rPr>
        <w:t>th</w:t>
      </w:r>
      <w:r w:rsidR="0042329F">
        <w:rPr>
          <w:rFonts w:cs="Arial"/>
          <w:b/>
          <w:sz w:val="24"/>
          <w:u w:val="single"/>
        </w:rPr>
        <w:t xml:space="preserve"> July</w:t>
      </w:r>
      <w:r w:rsidR="00FE7F02" w:rsidRPr="00E67C18">
        <w:rPr>
          <w:rFonts w:cs="Arial"/>
          <w:b/>
          <w:sz w:val="24"/>
          <w:u w:val="single"/>
        </w:rPr>
        <w:t xml:space="preserve"> </w:t>
      </w:r>
      <w:r w:rsidR="00351E7F" w:rsidRPr="00E67C18">
        <w:rPr>
          <w:rFonts w:cs="Arial"/>
          <w:b/>
          <w:sz w:val="24"/>
          <w:u w:val="single"/>
        </w:rPr>
        <w:t>2016</w:t>
      </w:r>
    </w:p>
    <w:p w:rsidR="00A42102" w:rsidRPr="00E67C18" w:rsidRDefault="00A42102" w:rsidP="00AE0FD7">
      <w:pPr>
        <w:rPr>
          <w:rFonts w:cs="Arial"/>
          <w:b/>
          <w:sz w:val="24"/>
          <w:u w:val="single"/>
        </w:rPr>
      </w:pPr>
      <w:r w:rsidRPr="00E67C18">
        <w:rPr>
          <w:rFonts w:cs="Arial"/>
          <w:b/>
          <w:sz w:val="24"/>
          <w:u w:val="single"/>
        </w:rPr>
        <w:t>Table of decisions</w:t>
      </w:r>
    </w:p>
    <w:tbl>
      <w:tblPr>
        <w:tblStyle w:val="TableGrid"/>
        <w:tblpPr w:leftFromText="180" w:rightFromText="180" w:vertAnchor="page" w:horzAnchor="margin" w:tblpY="2626"/>
        <w:tblW w:w="0" w:type="auto"/>
        <w:tblLook w:val="04A0" w:firstRow="1" w:lastRow="0" w:firstColumn="1" w:lastColumn="0" w:noHBand="0" w:noVBand="1"/>
      </w:tblPr>
      <w:tblGrid>
        <w:gridCol w:w="2547"/>
        <w:gridCol w:w="6379"/>
      </w:tblGrid>
      <w:tr w:rsidR="00FE7F02" w:rsidRPr="00BF215A" w:rsidTr="00C35C86">
        <w:trPr>
          <w:trHeight w:val="455"/>
        </w:trPr>
        <w:tc>
          <w:tcPr>
            <w:tcW w:w="2547" w:type="dxa"/>
          </w:tcPr>
          <w:p w:rsidR="00FE7F02" w:rsidRPr="00BF215A" w:rsidRDefault="00FE7F02" w:rsidP="00C35C86">
            <w:pPr>
              <w:rPr>
                <w:rFonts w:cs="Arial"/>
                <w:b/>
                <w:sz w:val="24"/>
                <w:szCs w:val="24"/>
                <w:highlight w:val="yellow"/>
              </w:rPr>
            </w:pPr>
            <w:r w:rsidRPr="008F6DFF">
              <w:rPr>
                <w:rFonts w:cs="Arial"/>
                <w:b/>
                <w:sz w:val="24"/>
                <w:szCs w:val="24"/>
              </w:rPr>
              <w:t>Declarations of Interest:</w:t>
            </w:r>
          </w:p>
        </w:tc>
        <w:tc>
          <w:tcPr>
            <w:tcW w:w="6379" w:type="dxa"/>
          </w:tcPr>
          <w:p w:rsidR="00892C29" w:rsidRPr="00892C29" w:rsidRDefault="00892C29" w:rsidP="0042329F">
            <w:pPr>
              <w:pStyle w:val="ListParagraph"/>
              <w:numPr>
                <w:ilvl w:val="0"/>
                <w:numId w:val="19"/>
              </w:numPr>
              <w:rPr>
                <w:rFonts w:asciiTheme="minorHAnsi" w:hAnsiTheme="minorHAnsi"/>
                <w:b/>
              </w:rPr>
            </w:pPr>
            <w:r w:rsidRPr="00892C29">
              <w:rPr>
                <w:rFonts w:asciiTheme="minorHAnsi" w:hAnsiTheme="minorHAnsi"/>
                <w:b/>
              </w:rPr>
              <w:t>Stephen Criddle stated that South Devon College has an interest in GD3</w:t>
            </w:r>
            <w:r w:rsidR="0042329F">
              <w:rPr>
                <w:rFonts w:asciiTheme="minorHAnsi" w:hAnsiTheme="minorHAnsi"/>
                <w:b/>
              </w:rPr>
              <w:t xml:space="preserve"> and ESIF collaboration</w:t>
            </w:r>
          </w:p>
          <w:p w:rsidR="00892C29" w:rsidRPr="00892C29" w:rsidRDefault="00892C29" w:rsidP="0042329F">
            <w:pPr>
              <w:pStyle w:val="ListParagraph"/>
              <w:numPr>
                <w:ilvl w:val="0"/>
                <w:numId w:val="19"/>
              </w:numPr>
              <w:rPr>
                <w:rFonts w:asciiTheme="minorHAnsi" w:hAnsiTheme="minorHAnsi"/>
                <w:b/>
              </w:rPr>
            </w:pPr>
            <w:r w:rsidRPr="00892C29">
              <w:rPr>
                <w:rFonts w:asciiTheme="minorHAnsi" w:hAnsiTheme="minorHAnsi"/>
                <w:b/>
              </w:rPr>
              <w:t xml:space="preserve">Amanda Ratsey stated an interest in </w:t>
            </w:r>
            <w:r w:rsidR="0042329F">
              <w:rPr>
                <w:rFonts w:asciiTheme="minorHAnsi" w:hAnsiTheme="minorHAnsi"/>
                <w:b/>
              </w:rPr>
              <w:t>South Yard</w:t>
            </w:r>
            <w:r w:rsidRPr="00892C29">
              <w:rPr>
                <w:rFonts w:asciiTheme="minorHAnsi" w:hAnsiTheme="minorHAnsi"/>
                <w:b/>
              </w:rPr>
              <w:t xml:space="preserve"> and GD3 projects</w:t>
            </w:r>
          </w:p>
          <w:p w:rsidR="0042329F" w:rsidRPr="0042329F" w:rsidRDefault="0042329F" w:rsidP="0042329F">
            <w:pPr>
              <w:pStyle w:val="ListParagraph"/>
              <w:numPr>
                <w:ilvl w:val="0"/>
                <w:numId w:val="19"/>
              </w:numPr>
              <w:rPr>
                <w:rFonts w:asciiTheme="minorHAnsi" w:hAnsiTheme="minorHAnsi"/>
                <w:b/>
              </w:rPr>
            </w:pPr>
            <w:r w:rsidRPr="0042329F">
              <w:rPr>
                <w:rFonts w:asciiTheme="minorHAnsi" w:hAnsiTheme="minorHAnsi"/>
                <w:b/>
              </w:rPr>
              <w:t>Cllr David Fothergill stated an interest in Flood Action Plan and GD3 projects</w:t>
            </w:r>
          </w:p>
          <w:p w:rsidR="00892C29" w:rsidRPr="00892C29" w:rsidRDefault="00892C29" w:rsidP="0042329F">
            <w:pPr>
              <w:pStyle w:val="ListParagraph"/>
              <w:numPr>
                <w:ilvl w:val="0"/>
                <w:numId w:val="19"/>
              </w:numPr>
              <w:rPr>
                <w:rFonts w:asciiTheme="minorHAnsi" w:hAnsiTheme="minorHAnsi"/>
                <w:b/>
              </w:rPr>
            </w:pPr>
            <w:r w:rsidRPr="00892C29">
              <w:rPr>
                <w:rFonts w:asciiTheme="minorHAnsi" w:hAnsiTheme="minorHAnsi"/>
                <w:b/>
              </w:rPr>
              <w:t>Jamie Evans stated an</w:t>
            </w:r>
            <w:r w:rsidR="0042329F">
              <w:rPr>
                <w:rFonts w:asciiTheme="minorHAnsi" w:hAnsiTheme="minorHAnsi"/>
                <w:b/>
              </w:rPr>
              <w:t xml:space="preserve"> interest in Growth Hub</w:t>
            </w:r>
            <w:r w:rsidRPr="00892C29">
              <w:rPr>
                <w:rFonts w:asciiTheme="minorHAnsi" w:hAnsiTheme="minorHAnsi"/>
                <w:b/>
              </w:rPr>
              <w:t xml:space="preserve"> and GD3</w:t>
            </w:r>
          </w:p>
          <w:p w:rsidR="00FE7F02" w:rsidRPr="00BF215A" w:rsidRDefault="00FE7F02" w:rsidP="0042329F">
            <w:pPr>
              <w:pStyle w:val="ListParagraph"/>
              <w:ind w:left="360"/>
              <w:rPr>
                <w:rFonts w:asciiTheme="minorHAnsi" w:hAnsiTheme="minorHAnsi" w:cs="Arial"/>
                <w:b/>
                <w:szCs w:val="24"/>
                <w:highlight w:val="yellow"/>
                <w:u w:val="single"/>
              </w:rPr>
            </w:pPr>
          </w:p>
        </w:tc>
      </w:tr>
      <w:tr w:rsidR="00DA605C" w:rsidRPr="00BF215A" w:rsidTr="00C35C86">
        <w:trPr>
          <w:trHeight w:val="455"/>
        </w:trPr>
        <w:tc>
          <w:tcPr>
            <w:tcW w:w="2547" w:type="dxa"/>
            <w:vMerge w:val="restart"/>
          </w:tcPr>
          <w:p w:rsidR="00DA605C" w:rsidRPr="008D32CE" w:rsidRDefault="00DA605C" w:rsidP="00C35C86">
            <w:pPr>
              <w:rPr>
                <w:rFonts w:cs="Arial"/>
                <w:b/>
                <w:sz w:val="24"/>
                <w:szCs w:val="24"/>
              </w:rPr>
            </w:pPr>
            <w:r w:rsidRPr="008D32CE">
              <w:rPr>
                <w:rFonts w:cs="Arial"/>
                <w:b/>
                <w:sz w:val="24"/>
                <w:szCs w:val="24"/>
              </w:rPr>
              <w:t>Decisions to note:</w:t>
            </w:r>
          </w:p>
          <w:p w:rsidR="00DA605C" w:rsidRPr="008D32CE" w:rsidRDefault="00DA605C" w:rsidP="00C35C86">
            <w:pPr>
              <w:rPr>
                <w:rFonts w:cs="Arial"/>
                <w:b/>
                <w:sz w:val="24"/>
                <w:szCs w:val="24"/>
              </w:rPr>
            </w:pPr>
          </w:p>
          <w:p w:rsidR="00DA605C" w:rsidRPr="008D32CE" w:rsidRDefault="00DA605C" w:rsidP="00C35C86">
            <w:pPr>
              <w:rPr>
                <w:rFonts w:cs="Arial"/>
                <w:b/>
                <w:sz w:val="24"/>
                <w:szCs w:val="24"/>
              </w:rPr>
            </w:pPr>
          </w:p>
          <w:p w:rsidR="00DA605C" w:rsidRPr="008D32CE" w:rsidRDefault="00DA605C" w:rsidP="00C35C86">
            <w:pPr>
              <w:rPr>
                <w:rFonts w:cs="Arial"/>
                <w:b/>
                <w:sz w:val="24"/>
                <w:szCs w:val="24"/>
              </w:rPr>
            </w:pPr>
          </w:p>
          <w:p w:rsidR="00DA605C" w:rsidRPr="008D32CE" w:rsidRDefault="00DA605C" w:rsidP="00C35C86">
            <w:pPr>
              <w:rPr>
                <w:rFonts w:cs="Arial"/>
                <w:b/>
                <w:sz w:val="24"/>
                <w:szCs w:val="24"/>
              </w:rPr>
            </w:pPr>
          </w:p>
        </w:tc>
        <w:tc>
          <w:tcPr>
            <w:tcW w:w="6379" w:type="dxa"/>
          </w:tcPr>
          <w:p w:rsidR="00B05CC8" w:rsidRPr="008D32CE" w:rsidRDefault="00FE7F02" w:rsidP="00FE7F02">
            <w:pPr>
              <w:ind w:left="360"/>
              <w:rPr>
                <w:rFonts w:cs="Arial"/>
                <w:b/>
                <w:sz w:val="24"/>
                <w:szCs w:val="24"/>
                <w:u w:val="single"/>
              </w:rPr>
            </w:pPr>
            <w:r w:rsidRPr="008D32CE">
              <w:rPr>
                <w:rFonts w:cs="Arial"/>
                <w:b/>
                <w:sz w:val="24"/>
                <w:szCs w:val="24"/>
                <w:u w:val="single"/>
              </w:rPr>
              <w:t>1.</w:t>
            </w:r>
            <w:r w:rsidR="00BD7640" w:rsidRPr="008D32CE">
              <w:rPr>
                <w:rFonts w:cs="Arial"/>
                <w:b/>
                <w:sz w:val="24"/>
                <w:szCs w:val="24"/>
                <w:u w:val="single"/>
              </w:rPr>
              <w:t>Previous Minutes</w:t>
            </w:r>
          </w:p>
          <w:p w:rsidR="00BD7640" w:rsidRPr="008D32CE" w:rsidRDefault="00957FCD" w:rsidP="00FC053B">
            <w:pPr>
              <w:rPr>
                <w:rFonts w:cs="Arial"/>
                <w:b/>
                <w:sz w:val="24"/>
                <w:szCs w:val="24"/>
              </w:rPr>
            </w:pPr>
            <w:r>
              <w:rPr>
                <w:rFonts w:cs="Arial"/>
                <w:b/>
                <w:sz w:val="24"/>
                <w:szCs w:val="24"/>
              </w:rPr>
              <w:t>None</w:t>
            </w:r>
          </w:p>
        </w:tc>
      </w:tr>
      <w:tr w:rsidR="00DA605C" w:rsidRPr="00BF215A" w:rsidTr="00C35C86">
        <w:trPr>
          <w:trHeight w:val="455"/>
        </w:trPr>
        <w:tc>
          <w:tcPr>
            <w:tcW w:w="2547" w:type="dxa"/>
            <w:vMerge/>
          </w:tcPr>
          <w:p w:rsidR="00DA605C" w:rsidRPr="008D32CE" w:rsidRDefault="00DA605C" w:rsidP="00C35C86">
            <w:pPr>
              <w:rPr>
                <w:rFonts w:cs="Arial"/>
                <w:b/>
                <w:sz w:val="24"/>
                <w:szCs w:val="24"/>
              </w:rPr>
            </w:pPr>
          </w:p>
        </w:tc>
        <w:tc>
          <w:tcPr>
            <w:tcW w:w="6379" w:type="dxa"/>
          </w:tcPr>
          <w:p w:rsidR="00BD7640" w:rsidRPr="008D32CE" w:rsidRDefault="00BD7640" w:rsidP="00BD7640">
            <w:pPr>
              <w:pStyle w:val="ListParagraph"/>
              <w:numPr>
                <w:ilvl w:val="0"/>
                <w:numId w:val="6"/>
              </w:numPr>
              <w:rPr>
                <w:rFonts w:asciiTheme="minorHAnsi" w:hAnsiTheme="minorHAnsi" w:cs="Arial"/>
                <w:b/>
                <w:szCs w:val="24"/>
                <w:u w:val="single"/>
              </w:rPr>
            </w:pPr>
            <w:r w:rsidRPr="008D32CE">
              <w:rPr>
                <w:rFonts w:asciiTheme="minorHAnsi" w:hAnsiTheme="minorHAnsi" w:cs="Arial"/>
                <w:b/>
                <w:szCs w:val="24"/>
                <w:u w:val="single"/>
              </w:rPr>
              <w:t>Investment Programme Business Cases and Variations</w:t>
            </w:r>
          </w:p>
          <w:p w:rsidR="001D6784" w:rsidRPr="008D32CE" w:rsidRDefault="008D32CE" w:rsidP="001D6784">
            <w:pPr>
              <w:pStyle w:val="ListParagraph"/>
              <w:numPr>
                <w:ilvl w:val="0"/>
                <w:numId w:val="13"/>
              </w:numPr>
              <w:ind w:left="360"/>
              <w:rPr>
                <w:rFonts w:ascii="Calibri" w:hAnsi="Calibri"/>
                <w:b/>
                <w:szCs w:val="24"/>
              </w:rPr>
            </w:pPr>
            <w:r w:rsidRPr="008D32CE">
              <w:rPr>
                <w:rFonts w:ascii="Calibri" w:hAnsi="Calibri" w:cs="Arial"/>
                <w:b/>
                <w:szCs w:val="24"/>
              </w:rPr>
              <w:t xml:space="preserve">Growing Places Fund – </w:t>
            </w:r>
            <w:r w:rsidR="00957FCD">
              <w:rPr>
                <w:rFonts w:ascii="Calibri" w:hAnsi="Calibri" w:cs="Arial"/>
                <w:b/>
                <w:szCs w:val="24"/>
              </w:rPr>
              <w:t>South Yard</w:t>
            </w:r>
          </w:p>
          <w:p w:rsidR="001D6784" w:rsidRPr="008D32CE" w:rsidRDefault="00E67C18" w:rsidP="008D32CE">
            <w:pPr>
              <w:rPr>
                <w:rFonts w:ascii="Calibri" w:hAnsi="Calibri"/>
                <w:b/>
                <w:szCs w:val="24"/>
              </w:rPr>
            </w:pPr>
            <w:r w:rsidRPr="008D32CE">
              <w:rPr>
                <w:rFonts w:ascii="Calibri" w:hAnsi="Calibri"/>
                <w:b/>
                <w:sz w:val="24"/>
                <w:szCs w:val="24"/>
              </w:rPr>
              <w:t xml:space="preserve"> </w:t>
            </w:r>
            <w:r w:rsidR="004A2DFB">
              <w:rPr>
                <w:rFonts w:ascii="Calibri" w:hAnsi="Calibri"/>
                <w:b/>
                <w:sz w:val="24"/>
                <w:szCs w:val="24"/>
              </w:rPr>
              <w:t>SIP Members agreed the paper presented on revised financials for the scheme with some variations to the Heads of Terms wording.</w:t>
            </w:r>
          </w:p>
          <w:p w:rsidR="00023D2B" w:rsidRPr="008D32CE" w:rsidRDefault="00023D2B" w:rsidP="001D6784">
            <w:pPr>
              <w:pStyle w:val="ListParagraph"/>
              <w:numPr>
                <w:ilvl w:val="0"/>
                <w:numId w:val="13"/>
              </w:numPr>
              <w:ind w:left="360"/>
              <w:rPr>
                <w:rFonts w:ascii="Calibri" w:hAnsi="Calibri"/>
                <w:b/>
                <w:szCs w:val="24"/>
              </w:rPr>
            </w:pPr>
            <w:r w:rsidRPr="008D32CE">
              <w:rPr>
                <w:rFonts w:ascii="Calibri" w:hAnsi="Calibri"/>
                <w:b/>
                <w:szCs w:val="24"/>
              </w:rPr>
              <w:t xml:space="preserve">Growth Deal 2 – </w:t>
            </w:r>
            <w:r w:rsidR="004A2DFB">
              <w:rPr>
                <w:rFonts w:ascii="Calibri" w:hAnsi="Calibri"/>
                <w:b/>
                <w:szCs w:val="24"/>
              </w:rPr>
              <w:t>Nuclear Supply Chain</w:t>
            </w:r>
          </w:p>
          <w:p w:rsidR="00FB40DD" w:rsidRPr="004A2DFB" w:rsidRDefault="004A2DFB" w:rsidP="004A2DFB">
            <w:pPr>
              <w:pStyle w:val="ListParagraph"/>
              <w:ind w:left="5"/>
              <w:rPr>
                <w:rFonts w:asciiTheme="minorHAnsi" w:hAnsiTheme="minorHAnsi"/>
                <w:b/>
              </w:rPr>
            </w:pPr>
            <w:r w:rsidRPr="004A2DFB">
              <w:rPr>
                <w:rFonts w:asciiTheme="minorHAnsi" w:hAnsiTheme="minorHAnsi"/>
                <w:b/>
              </w:rPr>
              <w:t xml:space="preserve">SIP Members approved the recommendation to progress with procurement, subject to a condition on a break clause and milestones </w:t>
            </w:r>
            <w:r>
              <w:rPr>
                <w:rFonts w:asciiTheme="minorHAnsi" w:hAnsiTheme="minorHAnsi"/>
                <w:b/>
              </w:rPr>
              <w:t xml:space="preserve">put </w:t>
            </w:r>
            <w:r w:rsidRPr="004A2DFB">
              <w:rPr>
                <w:rFonts w:asciiTheme="minorHAnsi" w:hAnsiTheme="minorHAnsi"/>
                <w:b/>
              </w:rPr>
              <w:t>into the contracting process, with the need to review the likelihood of FID before launching the procurement. There will also need to be an operational agreement between the delivery body and the Growth Hub provider.</w:t>
            </w:r>
          </w:p>
          <w:p w:rsidR="008D32CE" w:rsidRPr="008D32CE" w:rsidRDefault="008D32CE" w:rsidP="008D32CE">
            <w:pPr>
              <w:pStyle w:val="ListParagraph"/>
              <w:numPr>
                <w:ilvl w:val="0"/>
                <w:numId w:val="13"/>
              </w:numPr>
              <w:ind w:left="430" w:hanging="425"/>
              <w:rPr>
                <w:rFonts w:asciiTheme="minorHAnsi" w:hAnsiTheme="minorHAnsi"/>
                <w:b/>
              </w:rPr>
            </w:pPr>
            <w:r w:rsidRPr="008D32CE">
              <w:rPr>
                <w:rFonts w:asciiTheme="minorHAnsi" w:hAnsiTheme="minorHAnsi"/>
                <w:b/>
              </w:rPr>
              <w:t xml:space="preserve">Growth Deal </w:t>
            </w:r>
            <w:r w:rsidR="001A4F53">
              <w:rPr>
                <w:rFonts w:asciiTheme="minorHAnsi" w:hAnsiTheme="minorHAnsi"/>
                <w:b/>
              </w:rPr>
              <w:t>1</w:t>
            </w:r>
            <w:r w:rsidRPr="008D32CE">
              <w:rPr>
                <w:rFonts w:asciiTheme="minorHAnsi" w:hAnsiTheme="minorHAnsi"/>
                <w:b/>
              </w:rPr>
              <w:t xml:space="preserve"> – </w:t>
            </w:r>
            <w:r w:rsidR="001A4F53">
              <w:rPr>
                <w:rFonts w:asciiTheme="minorHAnsi" w:hAnsiTheme="minorHAnsi"/>
                <w:b/>
              </w:rPr>
              <w:t>Flood Action Plan Variation</w:t>
            </w:r>
          </w:p>
          <w:p w:rsidR="00FB40DD" w:rsidRPr="00D30D4B" w:rsidRDefault="001A4F53" w:rsidP="00D30D4B">
            <w:pPr>
              <w:rPr>
                <w:rFonts w:cs="Arial"/>
                <w:b/>
                <w:sz w:val="24"/>
                <w:szCs w:val="24"/>
              </w:rPr>
            </w:pPr>
            <w:r>
              <w:rPr>
                <w:rFonts w:cs="Arial"/>
                <w:b/>
                <w:sz w:val="24"/>
                <w:szCs w:val="24"/>
              </w:rPr>
              <w:t>A variation to the Flood Action Plan project was approved. Does not affect overall expenditure or outputs, just phasing.</w:t>
            </w:r>
          </w:p>
          <w:p w:rsidR="00FB40DD" w:rsidRPr="00FB40DD" w:rsidRDefault="001A4F53" w:rsidP="00FB40DD">
            <w:pPr>
              <w:pStyle w:val="ListParagraph"/>
              <w:numPr>
                <w:ilvl w:val="0"/>
                <w:numId w:val="13"/>
              </w:numPr>
              <w:ind w:hanging="715"/>
              <w:rPr>
                <w:rFonts w:asciiTheme="minorHAnsi" w:hAnsiTheme="minorHAnsi" w:cs="Arial"/>
                <w:b/>
                <w:szCs w:val="24"/>
              </w:rPr>
            </w:pPr>
            <w:r>
              <w:rPr>
                <w:rFonts w:asciiTheme="minorHAnsi" w:hAnsiTheme="minorHAnsi" w:cs="Arial"/>
                <w:b/>
                <w:szCs w:val="24"/>
              </w:rPr>
              <w:t>Special Projects fund – Growth Hub match</w:t>
            </w:r>
          </w:p>
          <w:p w:rsidR="00DA605C" w:rsidRPr="00D30D4B" w:rsidRDefault="00711288" w:rsidP="00711288">
            <w:pPr>
              <w:rPr>
                <w:rFonts w:cs="Arial"/>
                <w:b/>
                <w:szCs w:val="24"/>
              </w:rPr>
            </w:pPr>
            <w:r>
              <w:rPr>
                <w:rFonts w:cs="Arial"/>
                <w:b/>
                <w:sz w:val="24"/>
                <w:szCs w:val="24"/>
              </w:rPr>
              <w:t>Funding of</w:t>
            </w:r>
            <w:r w:rsidR="001A4F53">
              <w:rPr>
                <w:rFonts w:cs="Arial"/>
                <w:b/>
                <w:sz w:val="24"/>
                <w:szCs w:val="24"/>
              </w:rPr>
              <w:t xml:space="preserve"> </w:t>
            </w:r>
            <w:r>
              <w:rPr>
                <w:rFonts w:cs="Arial"/>
                <w:b/>
                <w:sz w:val="24"/>
                <w:szCs w:val="24"/>
              </w:rPr>
              <w:t>£</w:t>
            </w:r>
            <w:proofErr w:type="gramStart"/>
            <w:r>
              <w:rPr>
                <w:rFonts w:cs="Arial"/>
                <w:b/>
                <w:sz w:val="24"/>
                <w:szCs w:val="24"/>
              </w:rPr>
              <w:t>40k,</w:t>
            </w:r>
            <w:proofErr w:type="gramEnd"/>
            <w:r w:rsidR="001A4F53">
              <w:rPr>
                <w:rFonts w:cs="Arial"/>
                <w:b/>
                <w:sz w:val="24"/>
                <w:szCs w:val="24"/>
              </w:rPr>
              <w:t xml:space="preserve"> was approved towards the ESIF growth hub bid match funding. </w:t>
            </w:r>
          </w:p>
        </w:tc>
      </w:tr>
      <w:tr w:rsidR="003B0704" w:rsidRPr="00BF215A" w:rsidTr="00C35C86">
        <w:trPr>
          <w:trHeight w:val="455"/>
        </w:trPr>
        <w:tc>
          <w:tcPr>
            <w:tcW w:w="2547" w:type="dxa"/>
          </w:tcPr>
          <w:p w:rsidR="003B0704" w:rsidRPr="00711288" w:rsidRDefault="003B0704" w:rsidP="00C35C86">
            <w:pPr>
              <w:rPr>
                <w:rFonts w:cs="Arial"/>
                <w:b/>
                <w:sz w:val="24"/>
                <w:szCs w:val="24"/>
                <w:highlight w:val="yellow"/>
              </w:rPr>
            </w:pPr>
          </w:p>
        </w:tc>
        <w:tc>
          <w:tcPr>
            <w:tcW w:w="6379" w:type="dxa"/>
          </w:tcPr>
          <w:p w:rsidR="003B0704" w:rsidRPr="00711288" w:rsidRDefault="003B0704" w:rsidP="00B72E23">
            <w:pPr>
              <w:pStyle w:val="ListParagraph"/>
              <w:numPr>
                <w:ilvl w:val="0"/>
                <w:numId w:val="14"/>
              </w:numPr>
              <w:ind w:left="360"/>
              <w:rPr>
                <w:rFonts w:asciiTheme="minorHAnsi" w:hAnsiTheme="minorHAnsi" w:cs="Arial"/>
                <w:b/>
                <w:szCs w:val="24"/>
                <w:u w:val="single"/>
              </w:rPr>
            </w:pPr>
            <w:r w:rsidRPr="00711288">
              <w:rPr>
                <w:rFonts w:asciiTheme="minorHAnsi" w:hAnsiTheme="minorHAnsi" w:cs="Arial"/>
                <w:b/>
                <w:szCs w:val="24"/>
                <w:u w:val="single"/>
              </w:rPr>
              <w:t>Investment Programme Delivery</w:t>
            </w:r>
          </w:p>
          <w:p w:rsidR="00D30D4B" w:rsidRDefault="00711288" w:rsidP="00711288">
            <w:pPr>
              <w:pStyle w:val="ListParagraph"/>
              <w:numPr>
                <w:ilvl w:val="0"/>
                <w:numId w:val="23"/>
              </w:numPr>
              <w:spacing w:line="256" w:lineRule="auto"/>
              <w:rPr>
                <w:rFonts w:asciiTheme="minorHAnsi" w:hAnsiTheme="minorHAnsi"/>
                <w:b/>
              </w:rPr>
            </w:pPr>
            <w:r>
              <w:rPr>
                <w:rFonts w:asciiTheme="minorHAnsi" w:hAnsiTheme="minorHAnsi"/>
                <w:b/>
              </w:rPr>
              <w:t>Large Major Transport schemes fund</w:t>
            </w:r>
          </w:p>
          <w:p w:rsidR="00B72E23" w:rsidRPr="00711288" w:rsidRDefault="00711288" w:rsidP="009945CE">
            <w:pPr>
              <w:spacing w:line="256" w:lineRule="auto"/>
              <w:rPr>
                <w:b/>
              </w:rPr>
            </w:pPr>
            <w:r>
              <w:rPr>
                <w:b/>
                <w:sz w:val="24"/>
              </w:rPr>
              <w:t xml:space="preserve">Recommendations of the independent transport assessor on the bid approach were agreed. </w:t>
            </w:r>
          </w:p>
        </w:tc>
      </w:tr>
      <w:tr w:rsidR="00D30D4B" w:rsidRPr="00BF215A" w:rsidTr="00C35C86">
        <w:trPr>
          <w:trHeight w:val="455"/>
        </w:trPr>
        <w:tc>
          <w:tcPr>
            <w:tcW w:w="2547" w:type="dxa"/>
          </w:tcPr>
          <w:p w:rsidR="00D30D4B" w:rsidRPr="00BF215A" w:rsidRDefault="00D30D4B" w:rsidP="00C35C86">
            <w:pPr>
              <w:rPr>
                <w:rFonts w:cs="Arial"/>
                <w:b/>
                <w:sz w:val="24"/>
                <w:szCs w:val="24"/>
                <w:highlight w:val="yellow"/>
              </w:rPr>
            </w:pPr>
          </w:p>
        </w:tc>
        <w:tc>
          <w:tcPr>
            <w:tcW w:w="6379" w:type="dxa"/>
          </w:tcPr>
          <w:p w:rsidR="00D30D4B" w:rsidRDefault="00D30D4B" w:rsidP="00B72E23">
            <w:pPr>
              <w:pStyle w:val="ListParagraph"/>
              <w:numPr>
                <w:ilvl w:val="0"/>
                <w:numId w:val="14"/>
              </w:numPr>
              <w:ind w:left="360"/>
              <w:rPr>
                <w:rFonts w:asciiTheme="minorHAnsi" w:hAnsiTheme="minorHAnsi" w:cs="Arial"/>
                <w:b/>
                <w:szCs w:val="24"/>
                <w:u w:val="single"/>
              </w:rPr>
            </w:pPr>
            <w:r>
              <w:rPr>
                <w:rFonts w:asciiTheme="minorHAnsi" w:hAnsiTheme="minorHAnsi" w:cs="Arial"/>
                <w:b/>
                <w:szCs w:val="24"/>
                <w:u w:val="single"/>
              </w:rPr>
              <w:t>Investment Programme Strategic</w:t>
            </w:r>
          </w:p>
          <w:p w:rsidR="00D30D4B" w:rsidRPr="000A30AE" w:rsidRDefault="00D30D4B" w:rsidP="000A30AE">
            <w:pPr>
              <w:pStyle w:val="ListParagraph"/>
              <w:numPr>
                <w:ilvl w:val="0"/>
                <w:numId w:val="21"/>
              </w:numPr>
              <w:rPr>
                <w:rFonts w:asciiTheme="minorHAnsi" w:hAnsiTheme="minorHAnsi" w:cs="Arial"/>
                <w:b/>
                <w:szCs w:val="24"/>
              </w:rPr>
            </w:pPr>
            <w:r w:rsidRPr="000A30AE">
              <w:rPr>
                <w:rFonts w:asciiTheme="minorHAnsi" w:hAnsiTheme="minorHAnsi" w:cs="Arial"/>
                <w:b/>
                <w:szCs w:val="24"/>
              </w:rPr>
              <w:t>ESIF Update – Technical Assistance</w:t>
            </w:r>
          </w:p>
          <w:p w:rsidR="00D30D4B" w:rsidRPr="00D30D4B" w:rsidRDefault="00711288" w:rsidP="009945CE">
            <w:pPr>
              <w:rPr>
                <w:rFonts w:cs="Arial"/>
                <w:b/>
                <w:szCs w:val="24"/>
                <w:u w:val="single"/>
              </w:rPr>
            </w:pPr>
            <w:r>
              <w:rPr>
                <w:rFonts w:cs="Arial"/>
                <w:b/>
                <w:sz w:val="24"/>
                <w:szCs w:val="24"/>
              </w:rPr>
              <w:t>Next steps were approved in terms of delivering the technical assistance element in a Brexit environment</w:t>
            </w:r>
            <w:r w:rsidR="00F93BD4">
              <w:rPr>
                <w:rFonts w:cs="Arial"/>
                <w:b/>
                <w:sz w:val="24"/>
                <w:szCs w:val="24"/>
              </w:rPr>
              <w:t xml:space="preserve"> with future call timescales unclear.</w:t>
            </w:r>
            <w:bookmarkStart w:id="0" w:name="_GoBack"/>
            <w:bookmarkEnd w:id="0"/>
          </w:p>
        </w:tc>
      </w:tr>
      <w:tr w:rsidR="00AE0FD7" w:rsidRPr="00BF215A" w:rsidTr="00C35C86">
        <w:trPr>
          <w:trHeight w:val="450"/>
        </w:trPr>
        <w:tc>
          <w:tcPr>
            <w:tcW w:w="2547" w:type="dxa"/>
          </w:tcPr>
          <w:p w:rsidR="00AE0FD7" w:rsidRPr="00B72E23" w:rsidRDefault="00AE0FD7" w:rsidP="00C35C86">
            <w:pPr>
              <w:rPr>
                <w:rFonts w:cs="Arial"/>
                <w:b/>
                <w:sz w:val="24"/>
                <w:szCs w:val="24"/>
              </w:rPr>
            </w:pPr>
            <w:r w:rsidRPr="00B72E23">
              <w:rPr>
                <w:rFonts w:cs="Arial"/>
                <w:b/>
                <w:sz w:val="24"/>
                <w:szCs w:val="24"/>
              </w:rPr>
              <w:t>Recommendations to Board:</w:t>
            </w:r>
          </w:p>
          <w:p w:rsidR="00AE0FD7" w:rsidRPr="00BF215A" w:rsidRDefault="00AE0FD7" w:rsidP="00C35C86">
            <w:pPr>
              <w:rPr>
                <w:rFonts w:cs="Arial"/>
                <w:b/>
                <w:sz w:val="24"/>
                <w:szCs w:val="24"/>
                <w:highlight w:val="yellow"/>
              </w:rPr>
            </w:pPr>
          </w:p>
          <w:p w:rsidR="00AE0FD7" w:rsidRPr="00BF215A" w:rsidRDefault="00AE0FD7" w:rsidP="00C35C86">
            <w:pPr>
              <w:rPr>
                <w:rFonts w:cs="Arial"/>
                <w:b/>
                <w:sz w:val="24"/>
                <w:szCs w:val="24"/>
                <w:highlight w:val="yellow"/>
              </w:rPr>
            </w:pPr>
          </w:p>
          <w:p w:rsidR="00AE0FD7" w:rsidRPr="00BF215A" w:rsidRDefault="00AE0FD7" w:rsidP="00C35C86">
            <w:pPr>
              <w:rPr>
                <w:rFonts w:cs="Arial"/>
                <w:b/>
                <w:sz w:val="24"/>
                <w:szCs w:val="24"/>
                <w:highlight w:val="yellow"/>
              </w:rPr>
            </w:pPr>
          </w:p>
        </w:tc>
        <w:tc>
          <w:tcPr>
            <w:tcW w:w="6379" w:type="dxa"/>
          </w:tcPr>
          <w:p w:rsidR="009812AC" w:rsidRPr="001A6DF4" w:rsidRDefault="001A6DF4" w:rsidP="001A6DF4">
            <w:pPr>
              <w:rPr>
                <w:rFonts w:cs="Arial"/>
                <w:b/>
              </w:rPr>
            </w:pPr>
            <w:r w:rsidRPr="001A6DF4">
              <w:rPr>
                <w:rFonts w:cs="Arial"/>
                <w:b/>
                <w:sz w:val="24"/>
              </w:rPr>
              <w:t>None</w:t>
            </w:r>
          </w:p>
        </w:tc>
      </w:tr>
      <w:tr w:rsidR="00AE0FD7" w:rsidRPr="00E67C18" w:rsidTr="00C35C86">
        <w:tc>
          <w:tcPr>
            <w:tcW w:w="2547" w:type="dxa"/>
          </w:tcPr>
          <w:p w:rsidR="00AE0FD7" w:rsidRPr="00FE410C" w:rsidRDefault="00AE0FD7" w:rsidP="00C35C86">
            <w:pPr>
              <w:rPr>
                <w:rFonts w:cs="Arial"/>
                <w:b/>
                <w:sz w:val="24"/>
                <w:szCs w:val="24"/>
              </w:rPr>
            </w:pPr>
            <w:r w:rsidRPr="00FE410C">
              <w:rPr>
                <w:rFonts w:cs="Arial"/>
                <w:b/>
                <w:sz w:val="24"/>
                <w:szCs w:val="24"/>
              </w:rPr>
              <w:t>Steer or guidance sought:</w:t>
            </w:r>
          </w:p>
          <w:p w:rsidR="00AE0FD7" w:rsidRPr="00FE410C" w:rsidRDefault="00AE0FD7" w:rsidP="00C35C86">
            <w:pPr>
              <w:rPr>
                <w:rFonts w:cs="Arial"/>
                <w:b/>
                <w:sz w:val="24"/>
                <w:szCs w:val="24"/>
              </w:rPr>
            </w:pPr>
          </w:p>
          <w:p w:rsidR="00AE0FD7" w:rsidRPr="00FE410C" w:rsidRDefault="00AE0FD7" w:rsidP="00C35C86">
            <w:pPr>
              <w:rPr>
                <w:rFonts w:cs="Arial"/>
                <w:b/>
                <w:sz w:val="24"/>
                <w:szCs w:val="24"/>
              </w:rPr>
            </w:pPr>
          </w:p>
          <w:p w:rsidR="00AE0FD7" w:rsidRPr="00FE410C" w:rsidRDefault="00AE0FD7" w:rsidP="00C35C86">
            <w:pPr>
              <w:rPr>
                <w:rFonts w:cs="Arial"/>
                <w:b/>
                <w:sz w:val="24"/>
                <w:szCs w:val="24"/>
              </w:rPr>
            </w:pPr>
          </w:p>
        </w:tc>
        <w:tc>
          <w:tcPr>
            <w:tcW w:w="6379" w:type="dxa"/>
          </w:tcPr>
          <w:p w:rsidR="00AE0FD7" w:rsidRPr="00FE410C" w:rsidRDefault="00A37C0F" w:rsidP="00A37C0F">
            <w:pPr>
              <w:rPr>
                <w:rFonts w:cs="Arial"/>
                <w:b/>
                <w:sz w:val="24"/>
                <w:szCs w:val="24"/>
              </w:rPr>
            </w:pPr>
            <w:r w:rsidRPr="00FE410C">
              <w:rPr>
                <w:rFonts w:cs="Arial"/>
                <w:b/>
                <w:sz w:val="24"/>
                <w:szCs w:val="24"/>
              </w:rPr>
              <w:t>None</w:t>
            </w:r>
          </w:p>
        </w:tc>
      </w:tr>
    </w:tbl>
    <w:p w:rsidR="00AE0FD7" w:rsidRPr="00E67C18" w:rsidRDefault="00AE0FD7" w:rsidP="00AE0FD7">
      <w:pPr>
        <w:rPr>
          <w:rFonts w:cs="Arial"/>
          <w:b/>
          <w:u w:val="single"/>
        </w:rPr>
      </w:pPr>
    </w:p>
    <w:p w:rsidR="002B4AE7" w:rsidRPr="00E67C18" w:rsidRDefault="002B4AE7" w:rsidP="00AE0FD7"/>
    <w:sectPr w:rsidR="002B4AE7" w:rsidRPr="00E67C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6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06386C"/>
    <w:multiLevelType w:val="hybridMultilevel"/>
    <w:tmpl w:val="053E95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BC6D00"/>
    <w:multiLevelType w:val="hybridMultilevel"/>
    <w:tmpl w:val="79DA1328"/>
    <w:lvl w:ilvl="0" w:tplc="49AA612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8A08F6"/>
    <w:multiLevelType w:val="hybridMultilevel"/>
    <w:tmpl w:val="065089D2"/>
    <w:lvl w:ilvl="0" w:tplc="08090001">
      <w:start w:val="1"/>
      <w:numFmt w:val="bullet"/>
      <w:lvlText w:val=""/>
      <w:lvlJc w:val="left"/>
      <w:pPr>
        <w:ind w:left="365" w:hanging="360"/>
      </w:pPr>
      <w:rPr>
        <w:rFonts w:ascii="Symbol" w:hAnsi="Symbol" w:hint="default"/>
      </w:rPr>
    </w:lvl>
    <w:lvl w:ilvl="1" w:tplc="08090003" w:tentative="1">
      <w:start w:val="1"/>
      <w:numFmt w:val="bullet"/>
      <w:lvlText w:val="o"/>
      <w:lvlJc w:val="left"/>
      <w:pPr>
        <w:ind w:left="1085" w:hanging="360"/>
      </w:pPr>
      <w:rPr>
        <w:rFonts w:ascii="Courier New" w:hAnsi="Courier New" w:cs="Courier New" w:hint="default"/>
      </w:rPr>
    </w:lvl>
    <w:lvl w:ilvl="2" w:tplc="08090005" w:tentative="1">
      <w:start w:val="1"/>
      <w:numFmt w:val="bullet"/>
      <w:lvlText w:val=""/>
      <w:lvlJc w:val="left"/>
      <w:pPr>
        <w:ind w:left="1805" w:hanging="360"/>
      </w:pPr>
      <w:rPr>
        <w:rFonts w:ascii="Wingdings" w:hAnsi="Wingdings" w:hint="default"/>
      </w:rPr>
    </w:lvl>
    <w:lvl w:ilvl="3" w:tplc="08090001" w:tentative="1">
      <w:start w:val="1"/>
      <w:numFmt w:val="bullet"/>
      <w:lvlText w:val=""/>
      <w:lvlJc w:val="left"/>
      <w:pPr>
        <w:ind w:left="2525" w:hanging="360"/>
      </w:pPr>
      <w:rPr>
        <w:rFonts w:ascii="Symbol" w:hAnsi="Symbol" w:hint="default"/>
      </w:rPr>
    </w:lvl>
    <w:lvl w:ilvl="4" w:tplc="08090003" w:tentative="1">
      <w:start w:val="1"/>
      <w:numFmt w:val="bullet"/>
      <w:lvlText w:val="o"/>
      <w:lvlJc w:val="left"/>
      <w:pPr>
        <w:ind w:left="3245" w:hanging="360"/>
      </w:pPr>
      <w:rPr>
        <w:rFonts w:ascii="Courier New" w:hAnsi="Courier New" w:cs="Courier New" w:hint="default"/>
      </w:rPr>
    </w:lvl>
    <w:lvl w:ilvl="5" w:tplc="08090005" w:tentative="1">
      <w:start w:val="1"/>
      <w:numFmt w:val="bullet"/>
      <w:lvlText w:val=""/>
      <w:lvlJc w:val="left"/>
      <w:pPr>
        <w:ind w:left="3965" w:hanging="360"/>
      </w:pPr>
      <w:rPr>
        <w:rFonts w:ascii="Wingdings" w:hAnsi="Wingdings" w:hint="default"/>
      </w:rPr>
    </w:lvl>
    <w:lvl w:ilvl="6" w:tplc="08090001" w:tentative="1">
      <w:start w:val="1"/>
      <w:numFmt w:val="bullet"/>
      <w:lvlText w:val=""/>
      <w:lvlJc w:val="left"/>
      <w:pPr>
        <w:ind w:left="4685" w:hanging="360"/>
      </w:pPr>
      <w:rPr>
        <w:rFonts w:ascii="Symbol" w:hAnsi="Symbol" w:hint="default"/>
      </w:rPr>
    </w:lvl>
    <w:lvl w:ilvl="7" w:tplc="08090003" w:tentative="1">
      <w:start w:val="1"/>
      <w:numFmt w:val="bullet"/>
      <w:lvlText w:val="o"/>
      <w:lvlJc w:val="left"/>
      <w:pPr>
        <w:ind w:left="5405" w:hanging="360"/>
      </w:pPr>
      <w:rPr>
        <w:rFonts w:ascii="Courier New" w:hAnsi="Courier New" w:cs="Courier New" w:hint="default"/>
      </w:rPr>
    </w:lvl>
    <w:lvl w:ilvl="8" w:tplc="08090005" w:tentative="1">
      <w:start w:val="1"/>
      <w:numFmt w:val="bullet"/>
      <w:lvlText w:val=""/>
      <w:lvlJc w:val="left"/>
      <w:pPr>
        <w:ind w:left="6125" w:hanging="360"/>
      </w:pPr>
      <w:rPr>
        <w:rFonts w:ascii="Wingdings" w:hAnsi="Wingdings" w:hint="default"/>
      </w:rPr>
    </w:lvl>
  </w:abstractNum>
  <w:abstractNum w:abstractNumId="4">
    <w:nsid w:val="134624C9"/>
    <w:multiLevelType w:val="hybridMultilevel"/>
    <w:tmpl w:val="C86C6B2E"/>
    <w:lvl w:ilvl="0" w:tplc="4B36EA08">
      <w:start w:val="9"/>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165C7AEF"/>
    <w:multiLevelType w:val="hybridMultilevel"/>
    <w:tmpl w:val="A43C1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6BE22D2"/>
    <w:multiLevelType w:val="hybridMultilevel"/>
    <w:tmpl w:val="5FD253B2"/>
    <w:lvl w:ilvl="0" w:tplc="20FCEA1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79326BA"/>
    <w:multiLevelType w:val="hybridMultilevel"/>
    <w:tmpl w:val="BC0CCC1E"/>
    <w:lvl w:ilvl="0" w:tplc="78002E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4514D2F"/>
    <w:multiLevelType w:val="hybridMultilevel"/>
    <w:tmpl w:val="CA4A31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575061B"/>
    <w:multiLevelType w:val="hybridMultilevel"/>
    <w:tmpl w:val="65BEA1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986053F"/>
    <w:multiLevelType w:val="hybridMultilevel"/>
    <w:tmpl w:val="FE0E26FC"/>
    <w:lvl w:ilvl="0" w:tplc="D38C2D6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3B3F16FF"/>
    <w:multiLevelType w:val="hybridMultilevel"/>
    <w:tmpl w:val="D3E48A08"/>
    <w:lvl w:ilvl="0" w:tplc="F4C8421E">
      <w:start w:val="1"/>
      <w:numFmt w:val="lowerLetter"/>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07F18C8"/>
    <w:multiLevelType w:val="hybridMultilevel"/>
    <w:tmpl w:val="B28422B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37F34C1"/>
    <w:multiLevelType w:val="hybridMultilevel"/>
    <w:tmpl w:val="7142867E"/>
    <w:lvl w:ilvl="0" w:tplc="B89013D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B2B06BA"/>
    <w:multiLevelType w:val="hybridMultilevel"/>
    <w:tmpl w:val="9CEC70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0952592"/>
    <w:multiLevelType w:val="hybridMultilevel"/>
    <w:tmpl w:val="65AAA9E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2E0224F"/>
    <w:multiLevelType w:val="hybridMultilevel"/>
    <w:tmpl w:val="30800D18"/>
    <w:lvl w:ilvl="0" w:tplc="CF6033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CEB78DD"/>
    <w:multiLevelType w:val="hybridMultilevel"/>
    <w:tmpl w:val="0ABA06C6"/>
    <w:lvl w:ilvl="0" w:tplc="08090019">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4324D0C">
      <w:start w:val="3"/>
      <w:numFmt w:val="bullet"/>
      <w:lvlText w:val="-"/>
      <w:lvlJc w:val="left"/>
      <w:pPr>
        <w:ind w:left="2520" w:hanging="360"/>
      </w:pPr>
      <w:rPr>
        <w:rFonts w:ascii="Calibri" w:eastAsia="Arial Unicode MS" w:hAnsi="Calibri" w:cs="Mangal" w:hint="default"/>
      </w:r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60A3100A"/>
    <w:multiLevelType w:val="hybridMultilevel"/>
    <w:tmpl w:val="6E8A134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4324D0C">
      <w:start w:val="3"/>
      <w:numFmt w:val="bullet"/>
      <w:lvlText w:val="-"/>
      <w:lvlJc w:val="left"/>
      <w:pPr>
        <w:ind w:left="2520" w:hanging="360"/>
      </w:pPr>
      <w:rPr>
        <w:rFonts w:ascii="Calibri" w:eastAsia="Arial Unicode MS" w:hAnsi="Calibri" w:cs="Mangal" w:hint="default"/>
      </w:r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61316FA2"/>
    <w:multiLevelType w:val="hybridMultilevel"/>
    <w:tmpl w:val="D8F6F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2440A48"/>
    <w:multiLevelType w:val="hybridMultilevel"/>
    <w:tmpl w:val="877AE27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766B3B53"/>
    <w:multiLevelType w:val="hybridMultilevel"/>
    <w:tmpl w:val="7B448532"/>
    <w:lvl w:ilvl="0" w:tplc="D440336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7E2B7F22"/>
    <w:multiLevelType w:val="hybridMultilevel"/>
    <w:tmpl w:val="0A98BA28"/>
    <w:lvl w:ilvl="0" w:tplc="08090019">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4324D0C">
      <w:start w:val="3"/>
      <w:numFmt w:val="bullet"/>
      <w:lvlText w:val="-"/>
      <w:lvlJc w:val="left"/>
      <w:pPr>
        <w:ind w:left="2520" w:hanging="360"/>
      </w:pPr>
      <w:rPr>
        <w:rFonts w:ascii="Calibri" w:eastAsia="Arial Unicode MS" w:hAnsi="Calibri" w:cs="Mangal" w:hint="default"/>
      </w:r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4"/>
  </w:num>
  <w:num w:numId="3">
    <w:abstractNumId w:val="8"/>
  </w:num>
  <w:num w:numId="4">
    <w:abstractNumId w:val="1"/>
  </w:num>
  <w:num w:numId="5">
    <w:abstractNumId w:val="7"/>
  </w:num>
  <w:num w:numId="6">
    <w:abstractNumId w:val="13"/>
  </w:num>
  <w:num w:numId="7">
    <w:abstractNumId w:val="2"/>
  </w:num>
  <w:num w:numId="8">
    <w:abstractNumId w:val="18"/>
  </w:num>
  <w:num w:numId="9">
    <w:abstractNumId w:val="12"/>
  </w:num>
  <w:num w:numId="10">
    <w:abstractNumId w:val="19"/>
  </w:num>
  <w:num w:numId="11">
    <w:abstractNumId w:val="17"/>
  </w:num>
  <w:num w:numId="12">
    <w:abstractNumId w:val="5"/>
  </w:num>
  <w:num w:numId="13">
    <w:abstractNumId w:val="11"/>
  </w:num>
  <w:num w:numId="14">
    <w:abstractNumId w:val="6"/>
  </w:num>
  <w:num w:numId="15">
    <w:abstractNumId w:val="15"/>
  </w:num>
  <w:num w:numId="16">
    <w:abstractNumId w:val="10"/>
  </w:num>
  <w:num w:numId="17">
    <w:abstractNumId w:val="21"/>
  </w:num>
  <w:num w:numId="18">
    <w:abstractNumId w:val="16"/>
  </w:num>
  <w:num w:numId="19">
    <w:abstractNumId w:val="22"/>
  </w:num>
  <w:num w:numId="20">
    <w:abstractNumId w:val="3"/>
  </w:num>
  <w:num w:numId="21">
    <w:abstractNumId w:val="9"/>
  </w:num>
  <w:num w:numId="22">
    <w:abstractNumId w:val="14"/>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FD7"/>
    <w:rsid w:val="00023D2B"/>
    <w:rsid w:val="00033070"/>
    <w:rsid w:val="00035B59"/>
    <w:rsid w:val="00080390"/>
    <w:rsid w:val="000A30AE"/>
    <w:rsid w:val="001A4F53"/>
    <w:rsid w:val="001A6DF4"/>
    <w:rsid w:val="001D6784"/>
    <w:rsid w:val="002747CA"/>
    <w:rsid w:val="00275602"/>
    <w:rsid w:val="002B1AF4"/>
    <w:rsid w:val="002B4AE7"/>
    <w:rsid w:val="002D4017"/>
    <w:rsid w:val="002E7450"/>
    <w:rsid w:val="00351E7F"/>
    <w:rsid w:val="00362DF7"/>
    <w:rsid w:val="003648B8"/>
    <w:rsid w:val="003B0704"/>
    <w:rsid w:val="00416148"/>
    <w:rsid w:val="00421C03"/>
    <w:rsid w:val="0042329F"/>
    <w:rsid w:val="00475FF0"/>
    <w:rsid w:val="004A1A5B"/>
    <w:rsid w:val="004A2DFB"/>
    <w:rsid w:val="005326B4"/>
    <w:rsid w:val="005C44D1"/>
    <w:rsid w:val="005E0A13"/>
    <w:rsid w:val="00627E38"/>
    <w:rsid w:val="00671D97"/>
    <w:rsid w:val="00711288"/>
    <w:rsid w:val="007D20AD"/>
    <w:rsid w:val="008322E5"/>
    <w:rsid w:val="00853F0E"/>
    <w:rsid w:val="00892C29"/>
    <w:rsid w:val="008D32CE"/>
    <w:rsid w:val="008E5E2D"/>
    <w:rsid w:val="008F6DFF"/>
    <w:rsid w:val="00957FCD"/>
    <w:rsid w:val="009812AC"/>
    <w:rsid w:val="009945CE"/>
    <w:rsid w:val="00A37C0F"/>
    <w:rsid w:val="00A42102"/>
    <w:rsid w:val="00AE0FD7"/>
    <w:rsid w:val="00B05CC8"/>
    <w:rsid w:val="00B07C7D"/>
    <w:rsid w:val="00B65CD2"/>
    <w:rsid w:val="00B72E23"/>
    <w:rsid w:val="00B90652"/>
    <w:rsid w:val="00BD7640"/>
    <w:rsid w:val="00BF215A"/>
    <w:rsid w:val="00C35C86"/>
    <w:rsid w:val="00C64832"/>
    <w:rsid w:val="00CE435E"/>
    <w:rsid w:val="00D30D4B"/>
    <w:rsid w:val="00D4091A"/>
    <w:rsid w:val="00D76659"/>
    <w:rsid w:val="00D87D04"/>
    <w:rsid w:val="00D974C4"/>
    <w:rsid w:val="00DA397D"/>
    <w:rsid w:val="00DA605C"/>
    <w:rsid w:val="00DB775A"/>
    <w:rsid w:val="00E67C18"/>
    <w:rsid w:val="00EA35CE"/>
    <w:rsid w:val="00EC0C6B"/>
    <w:rsid w:val="00F6327F"/>
    <w:rsid w:val="00F907B2"/>
    <w:rsid w:val="00F93BD4"/>
    <w:rsid w:val="00FB40DD"/>
    <w:rsid w:val="00FC053B"/>
    <w:rsid w:val="00FE410C"/>
    <w:rsid w:val="00FE7F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FD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0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6148"/>
    <w:pPr>
      <w:widowControl w:val="0"/>
      <w:suppressAutoHyphens/>
      <w:spacing w:after="0" w:line="240" w:lineRule="auto"/>
      <w:ind w:left="720"/>
      <w:contextualSpacing/>
    </w:pPr>
    <w:rPr>
      <w:rFonts w:ascii="Times New Roman" w:eastAsia="Arial Unicode MS" w:hAnsi="Times New Roman" w:cs="Mangal"/>
      <w:ker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FD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0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6148"/>
    <w:pPr>
      <w:widowControl w:val="0"/>
      <w:suppressAutoHyphens/>
      <w:spacing w:after="0" w:line="240" w:lineRule="auto"/>
      <w:ind w:left="720"/>
      <w:contextualSpacing/>
    </w:pPr>
    <w:rPr>
      <w:rFonts w:ascii="Times New Roman" w:eastAsia="Arial Unicode MS"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051286">
      <w:bodyDiv w:val="1"/>
      <w:marLeft w:val="0"/>
      <w:marRight w:val="0"/>
      <w:marTop w:val="0"/>
      <w:marBottom w:val="0"/>
      <w:divBdr>
        <w:top w:val="none" w:sz="0" w:space="0" w:color="auto"/>
        <w:left w:val="none" w:sz="0" w:space="0" w:color="auto"/>
        <w:bottom w:val="none" w:sz="0" w:space="0" w:color="auto"/>
        <w:right w:val="none" w:sz="0" w:space="0" w:color="auto"/>
      </w:divBdr>
    </w:div>
    <w:div w:id="97206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5ACBFEF73DEF479BBBAD1C8DEFC6FA" ma:contentTypeVersion="0" ma:contentTypeDescription="Create a new document." ma:contentTypeScope="" ma:versionID="dc9341c3d06a25e769f5f7d768e1d8b0">
  <xsd:schema xmlns:xsd="http://www.w3.org/2001/XMLSchema" xmlns:xs="http://www.w3.org/2001/XMLSchema" xmlns:p="http://schemas.microsoft.com/office/2006/metadata/properties" targetNamespace="http://schemas.microsoft.com/office/2006/metadata/properties" ma:root="true" ma:fieldsID="d15787acf22db4e4c0ac8b858fca64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E227CC-3D69-43AB-9168-C4EF1E76F035}">
  <ds:schemaRefs>
    <ds:schemaRef ds:uri="http://schemas.microsoft.com/sharepoint/v3/contenttype/forms"/>
  </ds:schemaRefs>
</ds:datastoreItem>
</file>

<file path=customXml/itemProps2.xml><?xml version="1.0" encoding="utf-8"?>
<ds:datastoreItem xmlns:ds="http://schemas.openxmlformats.org/officeDocument/2006/customXml" ds:itemID="{892D3C18-5EA3-4978-8EE5-F9893A36A9D8}">
  <ds:schemaRefs>
    <ds:schemaRef ds:uri="http://schemas.microsoft.com/office/2006/documentManagement/types"/>
    <ds:schemaRef ds:uri="http://schemas.openxmlformats.org/package/2006/metadata/core-properties"/>
    <ds:schemaRef ds:uri="http://schemas.microsoft.com/office/2006/metadata/properties"/>
    <ds:schemaRef ds:uri="http://purl.org/dc/terms/"/>
    <ds:schemaRef ds:uri="http://purl.org/dc/dcmitype/"/>
    <ds:schemaRef ds:uri="http://purl.org/dc/elements/1.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D3F3B64E-CEA7-497E-8FA7-CE58D22265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12889FC1</Template>
  <TotalTime>23</TotalTime>
  <Pages>2</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Melanie Sealey</cp:lastModifiedBy>
  <cp:revision>8</cp:revision>
  <dcterms:created xsi:type="dcterms:W3CDTF">2016-07-21T10:20:00Z</dcterms:created>
  <dcterms:modified xsi:type="dcterms:W3CDTF">2016-07-21T10:59:00Z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0x0101003B5ACBFEF73DEF479BBBAD1C8DEFC6FA</vt:lpwstr>
  </property>
</Properties>
</file>