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37C45" w14:textId="77777777" w:rsidR="006330B5" w:rsidRDefault="006330B5" w:rsidP="006330B5">
      <w:bookmarkStart w:id="0" w:name="_GoBack"/>
      <w:bookmarkEnd w:id="0"/>
    </w:p>
    <w:p w14:paraId="2B233E8E" w14:textId="01EBBD54" w:rsidR="000036F5" w:rsidRDefault="000036F5" w:rsidP="000036F5">
      <w:pPr>
        <w:jc w:val="center"/>
        <w:rPr>
          <w:rFonts w:asciiTheme="majorHAnsi" w:hAnsiTheme="majorHAnsi"/>
          <w:b/>
          <w:sz w:val="32"/>
          <w:szCs w:val="32"/>
        </w:rPr>
      </w:pPr>
      <w:r w:rsidRPr="009534E5">
        <w:rPr>
          <w:rFonts w:asciiTheme="majorHAnsi" w:hAnsiTheme="majorHAnsi"/>
          <w:b/>
          <w:sz w:val="32"/>
          <w:szCs w:val="32"/>
        </w:rPr>
        <w:t>Minutes</w:t>
      </w:r>
      <w:r>
        <w:rPr>
          <w:rFonts w:asciiTheme="majorHAnsi" w:hAnsiTheme="majorHAnsi"/>
          <w:b/>
          <w:sz w:val="32"/>
          <w:szCs w:val="32"/>
        </w:rPr>
        <w:t xml:space="preserve"> of </w:t>
      </w:r>
      <w:r w:rsidR="004B228F" w:rsidRPr="004B228F">
        <w:rPr>
          <w:rFonts w:asciiTheme="majorHAnsi" w:hAnsiTheme="majorHAnsi"/>
          <w:b/>
          <w:sz w:val="32"/>
          <w:szCs w:val="32"/>
        </w:rPr>
        <w:t>LEP SIP Meeting</w:t>
      </w:r>
    </w:p>
    <w:p w14:paraId="02239F1D" w14:textId="12243A4C" w:rsidR="000036F5" w:rsidRDefault="000036F5" w:rsidP="000036F5">
      <w:pPr>
        <w:jc w:val="center"/>
        <w:rPr>
          <w:rFonts w:asciiTheme="majorHAnsi" w:hAnsiTheme="majorHAnsi"/>
          <w:b/>
          <w:sz w:val="32"/>
          <w:szCs w:val="32"/>
        </w:rPr>
      </w:pPr>
      <w:r>
        <w:rPr>
          <w:rFonts w:asciiTheme="majorHAnsi" w:hAnsiTheme="majorHAnsi"/>
          <w:b/>
          <w:sz w:val="32"/>
          <w:szCs w:val="32"/>
        </w:rPr>
        <w:t xml:space="preserve"> </w:t>
      </w:r>
      <w:r w:rsidR="004B228F">
        <w:rPr>
          <w:rFonts w:asciiTheme="majorHAnsi" w:hAnsiTheme="majorHAnsi"/>
          <w:b/>
          <w:sz w:val="32"/>
          <w:szCs w:val="32"/>
        </w:rPr>
        <w:t>05/03/2018</w:t>
      </w:r>
    </w:p>
    <w:p w14:paraId="2B9BC0A0" w14:textId="77777777" w:rsidR="000036F5" w:rsidRDefault="000036F5" w:rsidP="000036F5">
      <w:pPr>
        <w:jc w:val="center"/>
      </w:pPr>
      <w:r>
        <w:rPr>
          <w:rFonts w:asciiTheme="majorHAnsi" w:hAnsiTheme="majorHAnsi"/>
          <w:b/>
          <w:sz w:val="32"/>
          <w:szCs w:val="32"/>
        </w:rPr>
        <w:t xml:space="preserve"> at </w:t>
      </w:r>
    </w:p>
    <w:p w14:paraId="37A1F006" w14:textId="1C79B20A" w:rsidR="000036F5" w:rsidRDefault="004B228F" w:rsidP="004B228F">
      <w:pPr>
        <w:jc w:val="center"/>
        <w:rPr>
          <w:rFonts w:asciiTheme="majorHAnsi" w:hAnsiTheme="majorHAnsi" w:cstheme="majorHAnsi"/>
          <w:b/>
        </w:rPr>
      </w:pPr>
      <w:r w:rsidRPr="004B228F">
        <w:rPr>
          <w:rFonts w:asciiTheme="majorHAnsi" w:hAnsiTheme="majorHAnsi" w:cstheme="majorHAnsi"/>
          <w:b/>
          <w:sz w:val="32"/>
          <w:szCs w:val="32"/>
        </w:rPr>
        <w:t xml:space="preserve">Santander UK plc, Milford House, </w:t>
      </w:r>
      <w:proofErr w:type="spellStart"/>
      <w:r w:rsidRPr="004B228F">
        <w:rPr>
          <w:rFonts w:asciiTheme="majorHAnsi" w:hAnsiTheme="majorHAnsi" w:cstheme="majorHAnsi"/>
          <w:b/>
          <w:sz w:val="32"/>
          <w:szCs w:val="32"/>
        </w:rPr>
        <w:t>Pynes</w:t>
      </w:r>
      <w:proofErr w:type="spellEnd"/>
      <w:r w:rsidRPr="004B228F">
        <w:rPr>
          <w:rFonts w:asciiTheme="majorHAnsi" w:hAnsiTheme="majorHAnsi" w:cstheme="majorHAnsi"/>
          <w:b/>
          <w:sz w:val="32"/>
          <w:szCs w:val="32"/>
        </w:rPr>
        <w:t xml:space="preserve"> Hill</w:t>
      </w:r>
    </w:p>
    <w:p w14:paraId="64EC472A" w14:textId="77777777" w:rsidR="004B228F" w:rsidRDefault="004B228F" w:rsidP="000036F5">
      <w:pPr>
        <w:rPr>
          <w:rFonts w:asciiTheme="majorHAnsi" w:hAnsiTheme="majorHAnsi" w:cstheme="majorHAnsi"/>
          <w:b/>
        </w:rPr>
      </w:pPr>
    </w:p>
    <w:p w14:paraId="5A81FABB" w14:textId="4DFFAF13" w:rsidR="000036F5" w:rsidRDefault="000036F5" w:rsidP="000036F5">
      <w:pPr>
        <w:rPr>
          <w:rFonts w:asciiTheme="majorHAnsi" w:hAnsiTheme="majorHAnsi" w:cstheme="majorHAnsi"/>
          <w:b/>
        </w:rPr>
      </w:pPr>
      <w:r>
        <w:rPr>
          <w:rFonts w:asciiTheme="majorHAnsi" w:hAnsiTheme="majorHAnsi" w:cstheme="majorHAnsi"/>
          <w:b/>
        </w:rPr>
        <w:t>Board Attendees:</w:t>
      </w:r>
    </w:p>
    <w:p w14:paraId="04366903" w14:textId="7A9D4EF3" w:rsidR="001A7495" w:rsidRDefault="00A55137" w:rsidP="000036F5">
      <w:pPr>
        <w:rPr>
          <w:rFonts w:asciiTheme="majorHAnsi" w:hAnsiTheme="majorHAnsi" w:cstheme="majorHAnsi"/>
          <w:i/>
        </w:rPr>
      </w:pPr>
      <w:r>
        <w:rPr>
          <w:rFonts w:asciiTheme="majorHAnsi" w:hAnsiTheme="majorHAnsi" w:cstheme="majorHAnsi"/>
          <w:i/>
        </w:rPr>
        <w:t xml:space="preserve">Alan </w:t>
      </w:r>
      <w:proofErr w:type="spellStart"/>
      <w:r>
        <w:rPr>
          <w:rFonts w:asciiTheme="majorHAnsi" w:hAnsiTheme="majorHAnsi" w:cstheme="majorHAnsi"/>
          <w:i/>
        </w:rPr>
        <w:t>Denby</w:t>
      </w:r>
      <w:proofErr w:type="spellEnd"/>
      <w:r>
        <w:rPr>
          <w:rFonts w:asciiTheme="majorHAnsi" w:hAnsiTheme="majorHAnsi" w:cstheme="majorHAnsi"/>
          <w:i/>
        </w:rPr>
        <w:t>, Business Lead, LEP Management Team</w:t>
      </w:r>
    </w:p>
    <w:p w14:paraId="7FEAC9FE" w14:textId="2F06A26D" w:rsidR="007F6A80" w:rsidRDefault="007F6A80" w:rsidP="000036F5">
      <w:pPr>
        <w:rPr>
          <w:rFonts w:asciiTheme="majorHAnsi" w:hAnsiTheme="majorHAnsi" w:cstheme="majorHAnsi"/>
          <w:i/>
        </w:rPr>
      </w:pPr>
      <w:r>
        <w:rPr>
          <w:rFonts w:asciiTheme="majorHAnsi" w:hAnsiTheme="majorHAnsi" w:cstheme="majorHAnsi"/>
          <w:i/>
        </w:rPr>
        <w:t xml:space="preserve">Amanda </w:t>
      </w:r>
      <w:proofErr w:type="spellStart"/>
      <w:r>
        <w:rPr>
          <w:rFonts w:asciiTheme="majorHAnsi" w:hAnsiTheme="majorHAnsi" w:cstheme="majorHAnsi"/>
          <w:i/>
        </w:rPr>
        <w:t>Ratsey</w:t>
      </w:r>
      <w:proofErr w:type="spellEnd"/>
      <w:r>
        <w:rPr>
          <w:rFonts w:asciiTheme="majorHAnsi" w:hAnsiTheme="majorHAnsi" w:cstheme="majorHAnsi"/>
          <w:i/>
        </w:rPr>
        <w:t>, Business Lead, LEP Man</w:t>
      </w:r>
      <w:r w:rsidR="00907F32">
        <w:rPr>
          <w:rFonts w:asciiTheme="majorHAnsi" w:hAnsiTheme="majorHAnsi" w:cstheme="majorHAnsi"/>
          <w:i/>
        </w:rPr>
        <w:t>a</w:t>
      </w:r>
      <w:r>
        <w:rPr>
          <w:rFonts w:asciiTheme="majorHAnsi" w:hAnsiTheme="majorHAnsi" w:cstheme="majorHAnsi"/>
          <w:i/>
        </w:rPr>
        <w:t>gement Team</w:t>
      </w:r>
    </w:p>
    <w:p w14:paraId="79484406" w14:textId="0B940821" w:rsidR="007F6A80" w:rsidRDefault="007F6A80" w:rsidP="000036F5">
      <w:pPr>
        <w:rPr>
          <w:rFonts w:asciiTheme="majorHAnsi" w:hAnsiTheme="majorHAnsi" w:cstheme="majorHAnsi"/>
          <w:i/>
        </w:rPr>
      </w:pPr>
      <w:r>
        <w:rPr>
          <w:rFonts w:asciiTheme="majorHAnsi" w:hAnsiTheme="majorHAnsi" w:cstheme="majorHAnsi"/>
          <w:i/>
        </w:rPr>
        <w:t>Chris Garcia, LEP Chief Executive</w:t>
      </w:r>
    </w:p>
    <w:p w14:paraId="490895DB" w14:textId="11564A18" w:rsidR="00E363FE" w:rsidRDefault="00E363FE" w:rsidP="000036F5">
      <w:pPr>
        <w:rPr>
          <w:rFonts w:asciiTheme="majorHAnsi" w:hAnsiTheme="majorHAnsi" w:cstheme="majorHAnsi"/>
          <w:i/>
        </w:rPr>
      </w:pPr>
      <w:proofErr w:type="spellStart"/>
      <w:r w:rsidRPr="004E5898">
        <w:rPr>
          <w:rFonts w:asciiTheme="majorHAnsi" w:hAnsiTheme="majorHAnsi" w:cstheme="majorHAnsi"/>
          <w:i/>
        </w:rPr>
        <w:t>Dr</w:t>
      </w:r>
      <w:proofErr w:type="spellEnd"/>
      <w:r w:rsidRPr="004E5898">
        <w:rPr>
          <w:rFonts w:asciiTheme="majorHAnsi" w:hAnsiTheme="majorHAnsi" w:cstheme="majorHAnsi"/>
          <w:i/>
        </w:rPr>
        <w:t xml:space="preserve"> Fiona McMillan, LEP Board Member</w:t>
      </w:r>
    </w:p>
    <w:p w14:paraId="5EDE4898" w14:textId="5967353E" w:rsidR="004E6FA2" w:rsidRDefault="004E6FA2" w:rsidP="000036F5">
      <w:pPr>
        <w:rPr>
          <w:rFonts w:asciiTheme="majorHAnsi" w:hAnsiTheme="majorHAnsi" w:cstheme="majorHAnsi"/>
          <w:i/>
        </w:rPr>
      </w:pPr>
      <w:r>
        <w:rPr>
          <w:rFonts w:asciiTheme="majorHAnsi" w:hAnsiTheme="majorHAnsi" w:cstheme="majorHAnsi"/>
          <w:i/>
        </w:rPr>
        <w:t>Keri Denton, People Lead, LEP Management Team</w:t>
      </w:r>
    </w:p>
    <w:p w14:paraId="2D2BC1FD" w14:textId="68EE36A0" w:rsidR="001741B4" w:rsidRDefault="001741B4" w:rsidP="000036F5">
      <w:pPr>
        <w:rPr>
          <w:rFonts w:asciiTheme="majorHAnsi" w:hAnsiTheme="majorHAnsi" w:cstheme="majorHAnsi"/>
          <w:i/>
        </w:rPr>
      </w:pPr>
      <w:r w:rsidRPr="001741B4">
        <w:rPr>
          <w:rFonts w:asciiTheme="majorHAnsi" w:hAnsiTheme="majorHAnsi" w:cstheme="majorHAnsi"/>
          <w:i/>
        </w:rPr>
        <w:t>Paul Hickson, Place Lead, LEP Management Team</w:t>
      </w:r>
    </w:p>
    <w:p w14:paraId="5DF4F451" w14:textId="355E8FB9" w:rsidR="007F6A80" w:rsidRPr="001A7495" w:rsidRDefault="007F6A80" w:rsidP="000036F5">
      <w:pPr>
        <w:rPr>
          <w:rFonts w:asciiTheme="majorHAnsi" w:hAnsiTheme="majorHAnsi" w:cstheme="majorHAnsi"/>
          <w:i/>
        </w:rPr>
      </w:pPr>
      <w:r>
        <w:rPr>
          <w:rFonts w:asciiTheme="majorHAnsi" w:hAnsiTheme="majorHAnsi" w:cstheme="majorHAnsi"/>
          <w:i/>
        </w:rPr>
        <w:t>Richard Stevens, Chair Business Leadership Group, LEP Board Member (acting chair)</w:t>
      </w:r>
    </w:p>
    <w:p w14:paraId="4DD92ABD" w14:textId="4BE147FE" w:rsidR="000036F5" w:rsidRDefault="000036F5" w:rsidP="000036F5">
      <w:pPr>
        <w:rPr>
          <w:rFonts w:asciiTheme="majorHAnsi" w:hAnsiTheme="majorHAnsi" w:cstheme="majorHAnsi"/>
        </w:rPr>
      </w:pPr>
    </w:p>
    <w:p w14:paraId="1F49673C" w14:textId="77777777" w:rsidR="000036F5" w:rsidRDefault="000036F5" w:rsidP="000036F5">
      <w:pPr>
        <w:rPr>
          <w:rFonts w:asciiTheme="majorHAnsi" w:hAnsiTheme="majorHAnsi" w:cstheme="majorHAnsi"/>
          <w:b/>
        </w:rPr>
      </w:pPr>
      <w:r>
        <w:rPr>
          <w:rFonts w:asciiTheme="majorHAnsi" w:hAnsiTheme="majorHAnsi" w:cstheme="majorHAnsi"/>
          <w:b/>
        </w:rPr>
        <w:t>Officers in attendance:</w:t>
      </w:r>
    </w:p>
    <w:p w14:paraId="05CEA2DC" w14:textId="36DE773A" w:rsidR="001A7495" w:rsidRPr="001A7495" w:rsidRDefault="007F6A80" w:rsidP="000036F5">
      <w:pPr>
        <w:rPr>
          <w:rFonts w:asciiTheme="majorHAnsi" w:hAnsiTheme="majorHAnsi" w:cstheme="majorHAnsi"/>
          <w:i/>
        </w:rPr>
      </w:pPr>
      <w:r>
        <w:rPr>
          <w:rFonts w:asciiTheme="majorHAnsi" w:hAnsiTheme="majorHAnsi" w:cstheme="majorHAnsi"/>
          <w:i/>
        </w:rPr>
        <w:t>Ed Cross, LEP PMO (minutes)</w:t>
      </w:r>
    </w:p>
    <w:p w14:paraId="634A809A" w14:textId="5149EA99" w:rsidR="001A7495" w:rsidRDefault="007F6A80" w:rsidP="000036F5">
      <w:pPr>
        <w:rPr>
          <w:rFonts w:asciiTheme="majorHAnsi" w:hAnsiTheme="majorHAnsi" w:cstheme="majorHAnsi"/>
          <w:i/>
        </w:rPr>
      </w:pPr>
      <w:r>
        <w:rPr>
          <w:rFonts w:asciiTheme="majorHAnsi" w:hAnsiTheme="majorHAnsi" w:cstheme="majorHAnsi"/>
          <w:i/>
        </w:rPr>
        <w:t>Eifion Jones, Head of Strategy &amp; Operations</w:t>
      </w:r>
    </w:p>
    <w:p w14:paraId="1BB9C23B" w14:textId="59CB2203" w:rsidR="007F6A80" w:rsidRDefault="007F6A80" w:rsidP="000036F5">
      <w:pPr>
        <w:rPr>
          <w:rFonts w:asciiTheme="majorHAnsi" w:hAnsiTheme="majorHAnsi" w:cstheme="majorHAnsi"/>
          <w:i/>
        </w:rPr>
      </w:pPr>
      <w:r>
        <w:rPr>
          <w:rFonts w:asciiTheme="majorHAnsi" w:hAnsiTheme="majorHAnsi" w:cstheme="majorHAnsi"/>
          <w:i/>
        </w:rPr>
        <w:t xml:space="preserve">Helena Davison, Communications Manager, </w:t>
      </w:r>
      <w:proofErr w:type="spellStart"/>
      <w:r>
        <w:rPr>
          <w:rFonts w:asciiTheme="majorHAnsi" w:hAnsiTheme="majorHAnsi" w:cstheme="majorHAnsi"/>
          <w:i/>
        </w:rPr>
        <w:t>HotSW</w:t>
      </w:r>
      <w:proofErr w:type="spellEnd"/>
      <w:r>
        <w:rPr>
          <w:rFonts w:asciiTheme="majorHAnsi" w:hAnsiTheme="majorHAnsi" w:cstheme="majorHAnsi"/>
          <w:i/>
        </w:rPr>
        <w:t xml:space="preserve"> LEP</w:t>
      </w:r>
    </w:p>
    <w:p w14:paraId="60E4B889" w14:textId="4F25CEC6" w:rsidR="007F6A80" w:rsidRDefault="007F6A80" w:rsidP="000036F5">
      <w:pPr>
        <w:rPr>
          <w:rFonts w:asciiTheme="majorHAnsi" w:hAnsiTheme="majorHAnsi" w:cstheme="majorHAnsi"/>
          <w:i/>
        </w:rPr>
      </w:pPr>
      <w:r>
        <w:rPr>
          <w:rFonts w:asciiTheme="majorHAnsi" w:hAnsiTheme="majorHAnsi" w:cstheme="majorHAnsi"/>
          <w:i/>
        </w:rPr>
        <w:t>Iain Harrison, Independent Transport Assessor</w:t>
      </w:r>
    </w:p>
    <w:p w14:paraId="787A5745" w14:textId="34909374" w:rsidR="007F6A80" w:rsidRDefault="007F6A80" w:rsidP="000036F5">
      <w:pPr>
        <w:rPr>
          <w:rFonts w:asciiTheme="majorHAnsi" w:hAnsiTheme="majorHAnsi" w:cstheme="majorHAnsi"/>
          <w:i/>
        </w:rPr>
      </w:pPr>
      <w:r>
        <w:rPr>
          <w:rFonts w:asciiTheme="majorHAnsi" w:hAnsiTheme="majorHAnsi" w:cstheme="majorHAnsi"/>
          <w:i/>
        </w:rPr>
        <w:t>Mel Roberts, SCC, Accountable Body</w:t>
      </w:r>
    </w:p>
    <w:p w14:paraId="29758F6D" w14:textId="04216FDC" w:rsidR="007F6A80" w:rsidRDefault="007F6A80" w:rsidP="000036F5">
      <w:pPr>
        <w:rPr>
          <w:rFonts w:asciiTheme="majorHAnsi" w:hAnsiTheme="majorHAnsi" w:cstheme="majorHAnsi"/>
          <w:i/>
        </w:rPr>
      </w:pPr>
      <w:r>
        <w:rPr>
          <w:rFonts w:asciiTheme="majorHAnsi" w:hAnsiTheme="majorHAnsi" w:cstheme="majorHAnsi"/>
          <w:i/>
        </w:rPr>
        <w:t>Mel Sealey, LEP PMO</w:t>
      </w:r>
    </w:p>
    <w:p w14:paraId="631F385D" w14:textId="77777777" w:rsidR="000036F5" w:rsidRDefault="000036F5" w:rsidP="000036F5">
      <w:pPr>
        <w:rPr>
          <w:rFonts w:asciiTheme="majorHAnsi" w:hAnsiTheme="majorHAnsi" w:cstheme="majorHAnsi"/>
        </w:rPr>
      </w:pPr>
    </w:p>
    <w:p w14:paraId="466F9B19" w14:textId="5FE7EC94" w:rsidR="000036F5" w:rsidRDefault="000036F5" w:rsidP="000036F5">
      <w:pPr>
        <w:rPr>
          <w:rFonts w:asciiTheme="majorHAnsi" w:hAnsiTheme="majorHAnsi" w:cstheme="majorHAnsi"/>
          <w:b/>
        </w:rPr>
      </w:pPr>
      <w:r>
        <w:rPr>
          <w:rFonts w:asciiTheme="majorHAnsi" w:hAnsiTheme="majorHAnsi" w:cstheme="majorHAnsi"/>
          <w:b/>
        </w:rPr>
        <w:t>Others in attendance:</w:t>
      </w:r>
    </w:p>
    <w:p w14:paraId="43521D83" w14:textId="35DD275F" w:rsidR="001A7495" w:rsidRPr="001A7495" w:rsidRDefault="007F6A80" w:rsidP="007F6A80">
      <w:pPr>
        <w:rPr>
          <w:rFonts w:asciiTheme="majorHAnsi" w:hAnsiTheme="majorHAnsi" w:cstheme="majorHAnsi"/>
          <w:i/>
        </w:rPr>
      </w:pPr>
      <w:r>
        <w:rPr>
          <w:rFonts w:asciiTheme="majorHAnsi" w:hAnsiTheme="majorHAnsi" w:cstheme="majorHAnsi"/>
          <w:i/>
        </w:rPr>
        <w:t xml:space="preserve">Sally </w:t>
      </w:r>
      <w:proofErr w:type="spellStart"/>
      <w:r>
        <w:rPr>
          <w:rFonts w:asciiTheme="majorHAnsi" w:hAnsiTheme="majorHAnsi" w:cstheme="majorHAnsi"/>
          <w:i/>
        </w:rPr>
        <w:t>Edgington</w:t>
      </w:r>
      <w:proofErr w:type="spellEnd"/>
      <w:r>
        <w:rPr>
          <w:rFonts w:asciiTheme="majorHAnsi" w:hAnsiTheme="majorHAnsi" w:cstheme="majorHAnsi"/>
          <w:i/>
        </w:rPr>
        <w:t>, Cities and Local Growth Unit, BEIS</w:t>
      </w:r>
    </w:p>
    <w:p w14:paraId="429DF5B5" w14:textId="3CB75295" w:rsidR="000036F5" w:rsidRDefault="00D7410A" w:rsidP="000036F5">
      <w:pPr>
        <w:rPr>
          <w:rFonts w:asciiTheme="majorHAnsi" w:hAnsiTheme="majorHAnsi" w:cstheme="majorHAnsi"/>
        </w:rPr>
      </w:pPr>
      <w:r>
        <w:rPr>
          <w:rFonts w:asciiTheme="majorHAnsi" w:hAnsiTheme="majorHAnsi" w:cstheme="majorHAnsi"/>
        </w:rPr>
        <w:t xml:space="preserve">    </w:t>
      </w:r>
      <w:r w:rsidR="000036F5">
        <w:rPr>
          <w:rFonts w:asciiTheme="majorHAnsi" w:hAnsiTheme="majorHAnsi" w:cstheme="majorHAnsi"/>
        </w:rPr>
        <w:t xml:space="preserve">                                                                        </w:t>
      </w:r>
    </w:p>
    <w:p w14:paraId="53F6C5BF" w14:textId="77777777" w:rsidR="001A7495" w:rsidRDefault="001A7495" w:rsidP="000036F5">
      <w:pPr>
        <w:rPr>
          <w:rFonts w:asciiTheme="majorHAnsi" w:hAnsiTheme="majorHAnsi" w:cstheme="majorHAnsi"/>
          <w:b/>
        </w:rPr>
      </w:pPr>
    </w:p>
    <w:p w14:paraId="23C1CB97" w14:textId="77777777" w:rsidR="00D246F9" w:rsidRDefault="00D246F9" w:rsidP="000036F5">
      <w:pPr>
        <w:rPr>
          <w:rFonts w:asciiTheme="majorHAnsi" w:hAnsiTheme="majorHAnsi" w:cstheme="majorHAnsi"/>
          <w:b/>
        </w:rPr>
      </w:pPr>
    </w:p>
    <w:p w14:paraId="4F4838C4" w14:textId="77777777" w:rsidR="00EB6AF8" w:rsidRDefault="00EB6AF8" w:rsidP="000036F5">
      <w:pPr>
        <w:rPr>
          <w:rFonts w:asciiTheme="majorHAnsi" w:hAnsiTheme="majorHAnsi" w:cstheme="majorHAnsi"/>
          <w:b/>
        </w:rPr>
      </w:pPr>
    </w:p>
    <w:tbl>
      <w:tblPr>
        <w:tblStyle w:val="TableGrid1"/>
        <w:tblW w:w="0" w:type="auto"/>
        <w:tblCellMar>
          <w:top w:w="57" w:type="dxa"/>
          <w:bottom w:w="57" w:type="dxa"/>
        </w:tblCellMar>
        <w:tblLook w:val="04A0" w:firstRow="1" w:lastRow="0" w:firstColumn="1" w:lastColumn="0" w:noHBand="0" w:noVBand="1"/>
      </w:tblPr>
      <w:tblGrid>
        <w:gridCol w:w="1128"/>
        <w:gridCol w:w="6270"/>
        <w:gridCol w:w="36"/>
        <w:gridCol w:w="1602"/>
        <w:gridCol w:w="18"/>
      </w:tblGrid>
      <w:tr w:rsidR="00D246F9" w:rsidRPr="004B2A56" w14:paraId="45157922" w14:textId="77777777" w:rsidTr="00017D16">
        <w:tc>
          <w:tcPr>
            <w:tcW w:w="1128" w:type="dxa"/>
            <w:tcBorders>
              <w:top w:val="nil"/>
              <w:bottom w:val="thinThickThinLargeGap" w:sz="24" w:space="0" w:color="auto"/>
            </w:tcBorders>
            <w:shd w:val="clear" w:color="auto" w:fill="8064A2" w:themeFill="accent4"/>
            <w:vAlign w:val="bottom"/>
          </w:tcPr>
          <w:p w14:paraId="722FDD00" w14:textId="11A18438" w:rsidR="00D246F9" w:rsidRPr="00D246F9" w:rsidRDefault="00D246F9" w:rsidP="00D246F9">
            <w:pPr>
              <w:rPr>
                <w:rFonts w:ascii="Calibri" w:hAnsi="Calibri" w:cs="Times New Roman"/>
                <w:b/>
                <w:color w:val="FFFFFF" w:themeColor="background1"/>
              </w:rPr>
            </w:pPr>
            <w:r>
              <w:rPr>
                <w:rFonts w:ascii="Calibri" w:hAnsi="Calibri" w:cs="Times New Roman"/>
                <w:b/>
                <w:color w:val="FFFFFF" w:themeColor="background1"/>
              </w:rPr>
              <w:t>Item No.</w:t>
            </w:r>
          </w:p>
        </w:tc>
        <w:tc>
          <w:tcPr>
            <w:tcW w:w="6306" w:type="dxa"/>
            <w:gridSpan w:val="2"/>
            <w:tcBorders>
              <w:top w:val="nil"/>
              <w:bottom w:val="thinThickThinLargeGap" w:sz="24" w:space="0" w:color="auto"/>
            </w:tcBorders>
            <w:shd w:val="clear" w:color="auto" w:fill="8064A2" w:themeFill="accent4"/>
            <w:vAlign w:val="bottom"/>
          </w:tcPr>
          <w:p w14:paraId="313E44B5" w14:textId="32A90487" w:rsidR="00D246F9" w:rsidRPr="00D246F9" w:rsidRDefault="00D246F9" w:rsidP="00D246F9">
            <w:pPr>
              <w:rPr>
                <w:rFonts w:ascii="Calibri" w:hAnsi="Calibri" w:cs="Times New Roman"/>
                <w:b/>
                <w:color w:val="FFFFFF" w:themeColor="background1"/>
              </w:rPr>
            </w:pPr>
            <w:r>
              <w:rPr>
                <w:rFonts w:ascii="Calibri" w:hAnsi="Calibri" w:cs="Times New Roman"/>
                <w:b/>
                <w:color w:val="FFFFFF" w:themeColor="background1"/>
              </w:rPr>
              <w:t>Agenda Item</w:t>
            </w:r>
          </w:p>
        </w:tc>
        <w:tc>
          <w:tcPr>
            <w:tcW w:w="1620" w:type="dxa"/>
            <w:gridSpan w:val="2"/>
            <w:tcBorders>
              <w:top w:val="nil"/>
              <w:bottom w:val="thinThickThinLargeGap" w:sz="24" w:space="0" w:color="auto"/>
            </w:tcBorders>
            <w:shd w:val="clear" w:color="auto" w:fill="8064A2" w:themeFill="accent4"/>
            <w:vAlign w:val="bottom"/>
          </w:tcPr>
          <w:p w14:paraId="3CDEA966" w14:textId="63996862" w:rsidR="00D246F9" w:rsidRPr="00D246F9" w:rsidRDefault="00D246F9" w:rsidP="00D246F9">
            <w:pPr>
              <w:rPr>
                <w:rFonts w:ascii="Calibri" w:hAnsi="Calibri" w:cs="Times New Roman"/>
                <w:b/>
                <w:color w:val="FFFFFF" w:themeColor="background1"/>
              </w:rPr>
            </w:pPr>
            <w:r w:rsidRPr="00D246F9">
              <w:rPr>
                <w:rFonts w:ascii="Calibri" w:hAnsi="Calibri" w:cs="Times New Roman"/>
                <w:b/>
                <w:color w:val="FFFFFF" w:themeColor="background1"/>
              </w:rPr>
              <w:t>Actioned By</w:t>
            </w:r>
          </w:p>
        </w:tc>
      </w:tr>
      <w:tr w:rsidR="00D246F9" w:rsidRPr="004B2A56" w14:paraId="76CE4F94" w14:textId="77777777" w:rsidTr="00E96166">
        <w:tc>
          <w:tcPr>
            <w:tcW w:w="1128" w:type="dxa"/>
            <w:tcBorders>
              <w:top w:val="thinThickThinLargeGap" w:sz="24" w:space="0" w:color="auto"/>
            </w:tcBorders>
            <w:shd w:val="clear" w:color="auto" w:fill="95B3D7" w:themeFill="accent1" w:themeFillTint="99"/>
          </w:tcPr>
          <w:p w14:paraId="247D533D" w14:textId="29EFEAA3" w:rsidR="00D246F9" w:rsidRPr="004B2A56" w:rsidRDefault="00D246F9" w:rsidP="004B2A56">
            <w:pPr>
              <w:rPr>
                <w:rFonts w:ascii="Calibri" w:hAnsi="Calibri" w:cs="Times New Roman"/>
                <w:b/>
              </w:rPr>
            </w:pPr>
            <w:r>
              <w:rPr>
                <w:rFonts w:ascii="Calibri" w:hAnsi="Calibri" w:cs="Times New Roman"/>
                <w:b/>
              </w:rPr>
              <w:t>1</w:t>
            </w:r>
          </w:p>
        </w:tc>
        <w:tc>
          <w:tcPr>
            <w:tcW w:w="7926" w:type="dxa"/>
            <w:gridSpan w:val="4"/>
            <w:tcBorders>
              <w:top w:val="thinThickThinLargeGap" w:sz="24" w:space="0" w:color="auto"/>
            </w:tcBorders>
            <w:shd w:val="clear" w:color="auto" w:fill="95B3D7" w:themeFill="accent1" w:themeFillTint="99"/>
          </w:tcPr>
          <w:p w14:paraId="4E06D2B5" w14:textId="5D65E8E0" w:rsidR="00D246F9" w:rsidRPr="004B2A56" w:rsidRDefault="00D246F9" w:rsidP="004B2A56">
            <w:pPr>
              <w:rPr>
                <w:rFonts w:ascii="Calibri" w:hAnsi="Calibri" w:cs="Times New Roman"/>
                <w:b/>
              </w:rPr>
            </w:pPr>
            <w:r>
              <w:rPr>
                <w:rFonts w:ascii="Calibri" w:hAnsi="Calibri" w:cs="Times New Roman"/>
                <w:b/>
              </w:rPr>
              <w:t>Apologies</w:t>
            </w:r>
          </w:p>
        </w:tc>
      </w:tr>
      <w:tr w:rsidR="0073340A" w:rsidRPr="004B2A56" w14:paraId="1514E98B" w14:textId="77777777" w:rsidTr="00FE7F18">
        <w:trPr>
          <w:gridAfter w:val="1"/>
          <w:wAfter w:w="18" w:type="dxa"/>
        </w:trPr>
        <w:tc>
          <w:tcPr>
            <w:tcW w:w="7434" w:type="dxa"/>
            <w:gridSpan w:val="3"/>
            <w:tcBorders>
              <w:bottom w:val="thinThickThinLargeGap" w:sz="24" w:space="0" w:color="auto"/>
            </w:tcBorders>
            <w:shd w:val="clear" w:color="auto" w:fill="auto"/>
          </w:tcPr>
          <w:p w14:paraId="6F142311" w14:textId="77777777" w:rsidR="0073340A" w:rsidRPr="007F4266" w:rsidRDefault="0073340A" w:rsidP="007F4266">
            <w:pPr>
              <w:pStyle w:val="ListParagraph"/>
              <w:numPr>
                <w:ilvl w:val="0"/>
                <w:numId w:val="16"/>
              </w:numPr>
              <w:rPr>
                <w:rFonts w:cs="Times New Roman"/>
              </w:rPr>
            </w:pPr>
            <w:r w:rsidRPr="007F4266">
              <w:rPr>
                <w:rFonts w:cs="Times New Roman"/>
              </w:rPr>
              <w:t>Ben Bryant</w:t>
            </w:r>
          </w:p>
          <w:p w14:paraId="674DA12B" w14:textId="77777777" w:rsidR="0073340A" w:rsidRDefault="0073340A" w:rsidP="007F4266">
            <w:pPr>
              <w:pStyle w:val="ListParagraph"/>
              <w:numPr>
                <w:ilvl w:val="0"/>
                <w:numId w:val="16"/>
              </w:numPr>
              <w:rPr>
                <w:rFonts w:cs="Times New Roman"/>
              </w:rPr>
            </w:pPr>
            <w:r w:rsidRPr="007F4266">
              <w:rPr>
                <w:rFonts w:cs="Times New Roman"/>
              </w:rPr>
              <w:t>David Bird</w:t>
            </w:r>
          </w:p>
          <w:p w14:paraId="1BFF149D" w14:textId="2D1DB1C5" w:rsidR="004E6FA2" w:rsidRPr="007F4266" w:rsidRDefault="004E6FA2" w:rsidP="007F4266">
            <w:pPr>
              <w:pStyle w:val="ListParagraph"/>
              <w:numPr>
                <w:ilvl w:val="0"/>
                <w:numId w:val="16"/>
              </w:numPr>
              <w:rPr>
                <w:rFonts w:cs="Times New Roman"/>
              </w:rPr>
            </w:pPr>
            <w:r>
              <w:rPr>
                <w:rFonts w:cs="Times New Roman"/>
              </w:rPr>
              <w:t>Barbara Shaw</w:t>
            </w:r>
          </w:p>
        </w:tc>
        <w:tc>
          <w:tcPr>
            <w:tcW w:w="1602" w:type="dxa"/>
            <w:tcBorders>
              <w:bottom w:val="thinThickThinLargeGap" w:sz="24" w:space="0" w:color="auto"/>
            </w:tcBorders>
            <w:shd w:val="clear" w:color="auto" w:fill="auto"/>
            <w:vAlign w:val="center"/>
          </w:tcPr>
          <w:p w14:paraId="23C69A29" w14:textId="31D6075E" w:rsidR="0073340A" w:rsidRPr="004B2A56" w:rsidRDefault="0073340A" w:rsidP="007F4266">
            <w:pPr>
              <w:jc w:val="center"/>
              <w:rPr>
                <w:rFonts w:ascii="Calibri" w:hAnsi="Calibri" w:cs="Times New Roman"/>
                <w:b/>
              </w:rPr>
            </w:pPr>
            <w:r w:rsidRPr="007F4266">
              <w:rPr>
                <w:rFonts w:ascii="Calibri" w:hAnsi="Calibri" w:cs="Times New Roman"/>
              </w:rPr>
              <w:t>N/A</w:t>
            </w:r>
          </w:p>
        </w:tc>
      </w:tr>
      <w:tr w:rsidR="00D246F9" w:rsidRPr="004B2A56" w14:paraId="5C77B8C2" w14:textId="77777777" w:rsidTr="00E96166">
        <w:trPr>
          <w:gridAfter w:val="1"/>
          <w:wAfter w:w="18" w:type="dxa"/>
        </w:trPr>
        <w:tc>
          <w:tcPr>
            <w:tcW w:w="1128" w:type="dxa"/>
            <w:tcBorders>
              <w:top w:val="thinThickThinLargeGap" w:sz="24" w:space="0" w:color="auto"/>
            </w:tcBorders>
            <w:shd w:val="clear" w:color="auto" w:fill="95B3D7" w:themeFill="accent1" w:themeFillTint="99"/>
          </w:tcPr>
          <w:p w14:paraId="5E503A62" w14:textId="740945FB" w:rsidR="00D246F9" w:rsidRPr="004B2A56" w:rsidRDefault="00D246F9" w:rsidP="004B2A56">
            <w:pPr>
              <w:rPr>
                <w:rFonts w:ascii="Calibri" w:hAnsi="Calibri" w:cs="Times New Roman"/>
                <w:b/>
              </w:rPr>
            </w:pPr>
            <w:r>
              <w:rPr>
                <w:rFonts w:ascii="Calibri" w:hAnsi="Calibri" w:cs="Times New Roman"/>
                <w:b/>
              </w:rPr>
              <w:t>2</w:t>
            </w:r>
          </w:p>
        </w:tc>
        <w:tc>
          <w:tcPr>
            <w:tcW w:w="7908" w:type="dxa"/>
            <w:gridSpan w:val="3"/>
            <w:tcBorders>
              <w:top w:val="thinThickThinLargeGap" w:sz="24" w:space="0" w:color="auto"/>
            </w:tcBorders>
            <w:shd w:val="clear" w:color="auto" w:fill="95B3D7" w:themeFill="accent1" w:themeFillTint="99"/>
          </w:tcPr>
          <w:p w14:paraId="19FEBBCF" w14:textId="75D85E24" w:rsidR="00D246F9" w:rsidRPr="004B2A56" w:rsidRDefault="00D246F9" w:rsidP="004B2A56">
            <w:pPr>
              <w:rPr>
                <w:rFonts w:ascii="Calibri" w:hAnsi="Calibri" w:cs="Times New Roman"/>
                <w:b/>
              </w:rPr>
            </w:pPr>
            <w:r>
              <w:rPr>
                <w:rFonts w:ascii="Calibri" w:hAnsi="Calibri" w:cs="Times New Roman"/>
                <w:b/>
              </w:rPr>
              <w:t>Declarations of I</w:t>
            </w:r>
            <w:r w:rsidRPr="00FC157C">
              <w:rPr>
                <w:rFonts w:ascii="Calibri" w:hAnsi="Calibri" w:cs="Times New Roman"/>
                <w:b/>
              </w:rPr>
              <w:t>nterest</w:t>
            </w:r>
          </w:p>
        </w:tc>
      </w:tr>
      <w:tr w:rsidR="0073340A" w:rsidRPr="004B2A56" w14:paraId="59145703" w14:textId="77777777" w:rsidTr="005153A7">
        <w:trPr>
          <w:gridAfter w:val="1"/>
          <w:wAfter w:w="18" w:type="dxa"/>
        </w:trPr>
        <w:tc>
          <w:tcPr>
            <w:tcW w:w="7434" w:type="dxa"/>
            <w:gridSpan w:val="3"/>
            <w:tcBorders>
              <w:bottom w:val="thinThickThinLargeGap" w:sz="24" w:space="0" w:color="auto"/>
            </w:tcBorders>
          </w:tcPr>
          <w:p w14:paraId="1990C3C0" w14:textId="6A5B4F51" w:rsidR="0073340A" w:rsidRPr="007F4266" w:rsidRDefault="0073340A" w:rsidP="007F4266">
            <w:pPr>
              <w:pStyle w:val="ListParagraph"/>
              <w:numPr>
                <w:ilvl w:val="0"/>
                <w:numId w:val="15"/>
              </w:numPr>
              <w:rPr>
                <w:rFonts w:cs="Times New Roman"/>
              </w:rPr>
            </w:pPr>
            <w:r w:rsidRPr="007F4266">
              <w:rPr>
                <w:rFonts w:cs="Times New Roman"/>
              </w:rPr>
              <w:t xml:space="preserve">Alan </w:t>
            </w:r>
            <w:proofErr w:type="spellStart"/>
            <w:r w:rsidRPr="007F4266">
              <w:rPr>
                <w:rFonts w:cs="Times New Roman"/>
              </w:rPr>
              <w:t>Denby</w:t>
            </w:r>
            <w:proofErr w:type="spellEnd"/>
            <w:r w:rsidRPr="007F4266">
              <w:rPr>
                <w:rFonts w:cs="Times New Roman"/>
              </w:rPr>
              <w:t xml:space="preserve"> – EPIC</w:t>
            </w:r>
          </w:p>
          <w:p w14:paraId="0774BBB9" w14:textId="1CBBF86C" w:rsidR="0073340A" w:rsidRPr="004E6FA2" w:rsidRDefault="0073340A" w:rsidP="004E6FA2">
            <w:pPr>
              <w:pStyle w:val="ListParagraph"/>
              <w:numPr>
                <w:ilvl w:val="0"/>
                <w:numId w:val="15"/>
              </w:numPr>
              <w:rPr>
                <w:rFonts w:cs="Times New Roman"/>
              </w:rPr>
            </w:pPr>
            <w:r w:rsidRPr="007F4266">
              <w:rPr>
                <w:rFonts w:cs="Times New Roman"/>
              </w:rPr>
              <w:t>Keri Denton – Marsh Barton</w:t>
            </w:r>
            <w:r w:rsidR="004E6FA2">
              <w:rPr>
                <w:rFonts w:cs="Times New Roman"/>
              </w:rPr>
              <w:t xml:space="preserve"> Station</w:t>
            </w:r>
            <w:r w:rsidRPr="007F4266">
              <w:rPr>
                <w:rFonts w:cs="Times New Roman"/>
              </w:rPr>
              <w:t xml:space="preserve"> and Exeter Science Park</w:t>
            </w:r>
          </w:p>
        </w:tc>
        <w:tc>
          <w:tcPr>
            <w:tcW w:w="1602" w:type="dxa"/>
            <w:tcBorders>
              <w:bottom w:val="thinThickThinLargeGap" w:sz="24" w:space="0" w:color="auto"/>
            </w:tcBorders>
            <w:vAlign w:val="center"/>
          </w:tcPr>
          <w:p w14:paraId="07BC2CEE" w14:textId="09078A6C" w:rsidR="0073340A" w:rsidRPr="004B2A56" w:rsidRDefault="0073340A" w:rsidP="007F4266">
            <w:pPr>
              <w:jc w:val="center"/>
              <w:rPr>
                <w:rFonts w:ascii="Calibri" w:hAnsi="Calibri" w:cs="Times New Roman"/>
                <w:b/>
              </w:rPr>
            </w:pPr>
            <w:r w:rsidRPr="007F4266">
              <w:rPr>
                <w:rFonts w:ascii="Calibri" w:hAnsi="Calibri" w:cs="Times New Roman"/>
              </w:rPr>
              <w:t>N/A</w:t>
            </w:r>
          </w:p>
        </w:tc>
      </w:tr>
      <w:tr w:rsidR="00D246F9" w:rsidRPr="004B2A56" w14:paraId="3DA63BFC" w14:textId="77777777" w:rsidTr="00E96166">
        <w:trPr>
          <w:gridAfter w:val="1"/>
          <w:wAfter w:w="18" w:type="dxa"/>
        </w:trPr>
        <w:tc>
          <w:tcPr>
            <w:tcW w:w="1128" w:type="dxa"/>
            <w:tcBorders>
              <w:top w:val="thinThickThinLargeGap" w:sz="24" w:space="0" w:color="auto"/>
            </w:tcBorders>
            <w:shd w:val="clear" w:color="auto" w:fill="95B3D7" w:themeFill="accent1" w:themeFillTint="99"/>
          </w:tcPr>
          <w:p w14:paraId="7C5B02E6" w14:textId="6DABC1A5" w:rsidR="00D246F9" w:rsidRPr="004B2A56" w:rsidRDefault="00D246F9" w:rsidP="004B2A56">
            <w:pPr>
              <w:rPr>
                <w:rFonts w:ascii="Calibri" w:hAnsi="Calibri" w:cs="Times New Roman"/>
                <w:b/>
              </w:rPr>
            </w:pPr>
            <w:r>
              <w:rPr>
                <w:rFonts w:ascii="Calibri" w:hAnsi="Calibri" w:cs="Times New Roman"/>
                <w:b/>
              </w:rPr>
              <w:t>3</w:t>
            </w:r>
          </w:p>
        </w:tc>
        <w:tc>
          <w:tcPr>
            <w:tcW w:w="7908" w:type="dxa"/>
            <w:gridSpan w:val="3"/>
            <w:tcBorders>
              <w:top w:val="thinThickThinLargeGap" w:sz="24" w:space="0" w:color="auto"/>
            </w:tcBorders>
            <w:shd w:val="clear" w:color="auto" w:fill="95B3D7" w:themeFill="accent1" w:themeFillTint="99"/>
          </w:tcPr>
          <w:p w14:paraId="5A064587" w14:textId="171C273C" w:rsidR="00D246F9" w:rsidRPr="004B2A56" w:rsidRDefault="00D246F9" w:rsidP="004B2A56">
            <w:pPr>
              <w:rPr>
                <w:rFonts w:ascii="Calibri" w:hAnsi="Calibri" w:cs="Times New Roman"/>
                <w:b/>
              </w:rPr>
            </w:pPr>
            <w:r>
              <w:rPr>
                <w:rFonts w:ascii="Calibri" w:hAnsi="Calibri" w:cs="Times New Roman"/>
                <w:b/>
              </w:rPr>
              <w:t>Minutes from L</w:t>
            </w:r>
            <w:r w:rsidRPr="00FC157C">
              <w:rPr>
                <w:rFonts w:ascii="Calibri" w:hAnsi="Calibri" w:cs="Times New Roman"/>
                <w:b/>
              </w:rPr>
              <w:t xml:space="preserve">ast SIP </w:t>
            </w:r>
            <w:r>
              <w:rPr>
                <w:rFonts w:ascii="Calibri" w:hAnsi="Calibri" w:cs="Times New Roman"/>
                <w:b/>
              </w:rPr>
              <w:t>M</w:t>
            </w:r>
            <w:r w:rsidRPr="00FC157C">
              <w:rPr>
                <w:rFonts w:ascii="Calibri" w:hAnsi="Calibri" w:cs="Times New Roman"/>
                <w:b/>
              </w:rPr>
              <w:t>eeting 5</w:t>
            </w:r>
            <w:r w:rsidRPr="00B37BE0">
              <w:rPr>
                <w:rFonts w:ascii="Calibri" w:hAnsi="Calibri" w:cs="Times New Roman"/>
                <w:b/>
                <w:vertAlign w:val="superscript"/>
              </w:rPr>
              <w:t>th</w:t>
            </w:r>
            <w:r w:rsidRPr="00FC157C">
              <w:rPr>
                <w:rFonts w:ascii="Calibri" w:hAnsi="Calibri" w:cs="Times New Roman"/>
                <w:b/>
              </w:rPr>
              <w:t xml:space="preserve"> February 2018</w:t>
            </w:r>
          </w:p>
        </w:tc>
      </w:tr>
      <w:tr w:rsidR="0073340A" w:rsidRPr="004B2A56" w14:paraId="3961C441" w14:textId="77777777" w:rsidTr="00915696">
        <w:trPr>
          <w:gridAfter w:val="1"/>
          <w:wAfter w:w="18" w:type="dxa"/>
        </w:trPr>
        <w:tc>
          <w:tcPr>
            <w:tcW w:w="7434" w:type="dxa"/>
            <w:gridSpan w:val="3"/>
            <w:tcBorders>
              <w:bottom w:val="thinThickThinLargeGap" w:sz="24" w:space="0" w:color="auto"/>
            </w:tcBorders>
          </w:tcPr>
          <w:p w14:paraId="7AE29D6A" w14:textId="209FA77C" w:rsidR="0073340A" w:rsidRPr="00B37BE0" w:rsidRDefault="0073340A" w:rsidP="00B37BE0">
            <w:pPr>
              <w:rPr>
                <w:rFonts w:asciiTheme="majorHAnsi" w:hAnsiTheme="majorHAnsi" w:cstheme="majorHAnsi"/>
              </w:rPr>
            </w:pPr>
            <w:r w:rsidRPr="00B37BE0">
              <w:rPr>
                <w:rFonts w:asciiTheme="majorHAnsi" w:hAnsiTheme="majorHAnsi" w:cstheme="majorHAnsi"/>
                <w:b/>
              </w:rPr>
              <w:t>Action:</w:t>
            </w:r>
            <w:r w:rsidR="004E6FA2">
              <w:rPr>
                <w:rFonts w:asciiTheme="majorHAnsi" w:hAnsiTheme="majorHAnsi" w:cstheme="majorHAnsi"/>
              </w:rPr>
              <w:t xml:space="preserve"> Add note</w:t>
            </w:r>
            <w:r w:rsidRPr="00B37BE0">
              <w:rPr>
                <w:rFonts w:asciiTheme="majorHAnsi" w:hAnsiTheme="majorHAnsi" w:cstheme="majorHAnsi"/>
              </w:rPr>
              <w:t xml:space="preserve"> to previous minutes regarding Constructing Futures and the addition of the 2% </w:t>
            </w:r>
            <w:r w:rsidR="004E6FA2">
              <w:rPr>
                <w:rFonts w:asciiTheme="majorHAnsi" w:hAnsiTheme="majorHAnsi" w:cstheme="majorHAnsi"/>
              </w:rPr>
              <w:t xml:space="preserve">programme management top slice. </w:t>
            </w:r>
          </w:p>
        </w:tc>
        <w:tc>
          <w:tcPr>
            <w:tcW w:w="1602" w:type="dxa"/>
            <w:tcBorders>
              <w:bottom w:val="thinThickThinLargeGap" w:sz="24" w:space="0" w:color="auto"/>
            </w:tcBorders>
            <w:vAlign w:val="center"/>
          </w:tcPr>
          <w:p w14:paraId="1D254200" w14:textId="65EA35BE" w:rsidR="0073340A" w:rsidRPr="004B2A56" w:rsidRDefault="0073340A" w:rsidP="006A236C">
            <w:pPr>
              <w:rPr>
                <w:rFonts w:ascii="Calibri" w:hAnsi="Calibri" w:cs="Times New Roman"/>
                <w:b/>
              </w:rPr>
            </w:pPr>
            <w:r>
              <w:rPr>
                <w:rFonts w:ascii="Calibri" w:hAnsi="Calibri" w:cs="Times New Roman"/>
                <w:b/>
              </w:rPr>
              <w:t>EC</w:t>
            </w:r>
          </w:p>
        </w:tc>
      </w:tr>
      <w:tr w:rsidR="00D246F9" w:rsidRPr="004B2A56" w14:paraId="0121A559" w14:textId="77777777" w:rsidTr="00E96166">
        <w:trPr>
          <w:gridAfter w:val="1"/>
          <w:wAfter w:w="18" w:type="dxa"/>
        </w:trPr>
        <w:tc>
          <w:tcPr>
            <w:tcW w:w="1128" w:type="dxa"/>
            <w:tcBorders>
              <w:top w:val="thinThickThinLargeGap" w:sz="24" w:space="0" w:color="auto"/>
            </w:tcBorders>
            <w:shd w:val="clear" w:color="auto" w:fill="95B3D7" w:themeFill="accent1" w:themeFillTint="99"/>
          </w:tcPr>
          <w:p w14:paraId="76B2CBAD" w14:textId="75CF4565" w:rsidR="00D246F9" w:rsidRPr="004B2A56" w:rsidRDefault="00D246F9" w:rsidP="004B2A56">
            <w:pPr>
              <w:rPr>
                <w:rFonts w:ascii="Calibri" w:hAnsi="Calibri" w:cs="Times New Roman"/>
                <w:b/>
              </w:rPr>
            </w:pPr>
            <w:r>
              <w:rPr>
                <w:rFonts w:ascii="Calibri" w:hAnsi="Calibri" w:cs="Times New Roman"/>
                <w:b/>
              </w:rPr>
              <w:t>4</w:t>
            </w:r>
          </w:p>
        </w:tc>
        <w:tc>
          <w:tcPr>
            <w:tcW w:w="7908" w:type="dxa"/>
            <w:gridSpan w:val="3"/>
            <w:tcBorders>
              <w:top w:val="thinThickThinLargeGap" w:sz="24" w:space="0" w:color="auto"/>
            </w:tcBorders>
            <w:shd w:val="clear" w:color="auto" w:fill="95B3D7" w:themeFill="accent1" w:themeFillTint="99"/>
          </w:tcPr>
          <w:p w14:paraId="62CA2CB2" w14:textId="38DE6937" w:rsidR="00D246F9" w:rsidRPr="004B2A56" w:rsidRDefault="00D246F9" w:rsidP="004B2A56">
            <w:pPr>
              <w:rPr>
                <w:rFonts w:ascii="Calibri" w:hAnsi="Calibri" w:cs="Times New Roman"/>
                <w:b/>
              </w:rPr>
            </w:pPr>
            <w:r w:rsidRPr="00FC157C">
              <w:rPr>
                <w:rFonts w:ascii="Calibri" w:hAnsi="Calibri" w:cs="Times New Roman"/>
                <w:b/>
              </w:rPr>
              <w:t>For D</w:t>
            </w:r>
            <w:r>
              <w:rPr>
                <w:rFonts w:ascii="Calibri" w:hAnsi="Calibri" w:cs="Times New Roman"/>
                <w:b/>
              </w:rPr>
              <w:t>ecision - Investment Programme Business Cases and Project C</w:t>
            </w:r>
            <w:r w:rsidRPr="00FC157C">
              <w:rPr>
                <w:rFonts w:ascii="Calibri" w:hAnsi="Calibri" w:cs="Times New Roman"/>
                <w:b/>
              </w:rPr>
              <w:t>hanges</w:t>
            </w:r>
          </w:p>
        </w:tc>
      </w:tr>
      <w:tr w:rsidR="00D246F9" w:rsidRPr="004B2A56" w14:paraId="72AF4FD7" w14:textId="77777777" w:rsidTr="008B29F5">
        <w:trPr>
          <w:gridAfter w:val="1"/>
          <w:wAfter w:w="18" w:type="dxa"/>
          <w:trHeight w:val="57"/>
        </w:trPr>
        <w:tc>
          <w:tcPr>
            <w:tcW w:w="1128" w:type="dxa"/>
            <w:shd w:val="clear" w:color="auto" w:fill="E5B8B7" w:themeFill="accent2" w:themeFillTint="66"/>
          </w:tcPr>
          <w:p w14:paraId="02D10467" w14:textId="4D8D6A1B" w:rsidR="00D246F9" w:rsidRPr="00B37BE0" w:rsidRDefault="00D246F9" w:rsidP="004B2A56">
            <w:pPr>
              <w:rPr>
                <w:rFonts w:ascii="Calibri" w:hAnsi="Calibri" w:cs="Times New Roman"/>
                <w:b/>
              </w:rPr>
            </w:pPr>
            <w:r w:rsidRPr="00B37BE0">
              <w:rPr>
                <w:rFonts w:ascii="Calibri" w:hAnsi="Calibri" w:cs="Times New Roman"/>
                <w:b/>
              </w:rPr>
              <w:lastRenderedPageBreak/>
              <w:t>4.1</w:t>
            </w:r>
          </w:p>
        </w:tc>
        <w:tc>
          <w:tcPr>
            <w:tcW w:w="7908" w:type="dxa"/>
            <w:gridSpan w:val="3"/>
            <w:shd w:val="clear" w:color="auto" w:fill="E5B8B7" w:themeFill="accent2" w:themeFillTint="66"/>
          </w:tcPr>
          <w:p w14:paraId="53B570A5" w14:textId="42983C1D" w:rsidR="00D246F9" w:rsidRPr="004B2A56" w:rsidRDefault="00D246F9" w:rsidP="004B2A56">
            <w:pPr>
              <w:rPr>
                <w:rFonts w:ascii="Calibri" w:hAnsi="Calibri" w:cs="Arial"/>
              </w:rPr>
            </w:pPr>
            <w:r w:rsidRPr="00B37BE0">
              <w:rPr>
                <w:rFonts w:ascii="Calibri" w:hAnsi="Calibri" w:cs="Times New Roman"/>
                <w:b/>
              </w:rPr>
              <w:t>Growth Deal</w:t>
            </w:r>
          </w:p>
        </w:tc>
      </w:tr>
      <w:tr w:rsidR="00D246F9" w:rsidRPr="004B2A56" w14:paraId="530EF7DD" w14:textId="77777777" w:rsidTr="001A339E">
        <w:trPr>
          <w:gridAfter w:val="1"/>
          <w:wAfter w:w="18" w:type="dxa"/>
          <w:trHeight w:val="57"/>
        </w:trPr>
        <w:tc>
          <w:tcPr>
            <w:tcW w:w="1128" w:type="dxa"/>
            <w:shd w:val="clear" w:color="auto" w:fill="C6D9F1" w:themeFill="text2" w:themeFillTint="33"/>
          </w:tcPr>
          <w:p w14:paraId="25070B8F" w14:textId="2EC72842" w:rsidR="00D246F9" w:rsidRPr="00B37BE0" w:rsidRDefault="00D246F9" w:rsidP="004B2A56">
            <w:pPr>
              <w:rPr>
                <w:rFonts w:ascii="Calibri" w:hAnsi="Calibri" w:cs="Times New Roman"/>
                <w:b/>
              </w:rPr>
            </w:pPr>
            <w:r>
              <w:rPr>
                <w:rFonts w:ascii="Calibri" w:hAnsi="Calibri" w:cs="Times New Roman"/>
                <w:b/>
              </w:rPr>
              <w:t>4.1.1</w:t>
            </w:r>
          </w:p>
        </w:tc>
        <w:tc>
          <w:tcPr>
            <w:tcW w:w="7908" w:type="dxa"/>
            <w:gridSpan w:val="3"/>
            <w:shd w:val="clear" w:color="auto" w:fill="C6D9F1" w:themeFill="text2" w:themeFillTint="33"/>
          </w:tcPr>
          <w:p w14:paraId="06BE7158" w14:textId="36B6C3F0" w:rsidR="00D246F9" w:rsidRPr="004B2A56" w:rsidRDefault="00D246F9" w:rsidP="004B2A56">
            <w:pPr>
              <w:rPr>
                <w:rFonts w:ascii="Calibri" w:hAnsi="Calibri" w:cs="Arial"/>
              </w:rPr>
            </w:pPr>
            <w:r>
              <w:rPr>
                <w:rFonts w:ascii="Calibri" w:hAnsi="Calibri" w:cs="Times New Roman"/>
                <w:b/>
              </w:rPr>
              <w:t>EPIC Business Case Variation</w:t>
            </w:r>
          </w:p>
        </w:tc>
      </w:tr>
      <w:tr w:rsidR="00D246F9" w:rsidRPr="004B2A56" w14:paraId="4C5BF48F" w14:textId="77777777" w:rsidTr="00E96166">
        <w:trPr>
          <w:gridAfter w:val="1"/>
          <w:wAfter w:w="18" w:type="dxa"/>
        </w:trPr>
        <w:tc>
          <w:tcPr>
            <w:tcW w:w="7434" w:type="dxa"/>
            <w:gridSpan w:val="3"/>
            <w:tcBorders>
              <w:bottom w:val="thinThickThinLargeGap" w:sz="24" w:space="0" w:color="auto"/>
            </w:tcBorders>
          </w:tcPr>
          <w:p w14:paraId="22FC08D3" w14:textId="20F3DFB8" w:rsidR="00D246F9" w:rsidRDefault="00634BC2" w:rsidP="004B2A56">
            <w:pPr>
              <w:rPr>
                <w:rFonts w:ascii="Calibri" w:hAnsi="Calibri" w:cs="Times New Roman"/>
              </w:rPr>
            </w:pPr>
            <w:r>
              <w:rPr>
                <w:rFonts w:ascii="Calibri" w:hAnsi="Calibri" w:cs="Times New Roman"/>
              </w:rPr>
              <w:t xml:space="preserve">AR </w:t>
            </w:r>
            <w:r w:rsidR="004E6FA2">
              <w:rPr>
                <w:rFonts w:ascii="Calibri" w:hAnsi="Calibri" w:cs="Times New Roman"/>
              </w:rPr>
              <w:t>talked through the paper informing</w:t>
            </w:r>
            <w:r>
              <w:rPr>
                <w:rFonts w:ascii="Calibri" w:hAnsi="Calibri" w:cs="Times New Roman"/>
              </w:rPr>
              <w:t xml:space="preserve"> SIP of two proposals for the EPIC project. The first a request for an additional £200k</w:t>
            </w:r>
            <w:r w:rsidR="00252964">
              <w:rPr>
                <w:rFonts w:ascii="Calibri" w:hAnsi="Calibri" w:cs="Times New Roman"/>
              </w:rPr>
              <w:t>,</w:t>
            </w:r>
            <w:r>
              <w:rPr>
                <w:rFonts w:ascii="Calibri" w:hAnsi="Calibri" w:cs="Times New Roman"/>
              </w:rPr>
              <w:t xml:space="preserve"> the second a reduction of the </w:t>
            </w:r>
            <w:r w:rsidRPr="00634BC2">
              <w:rPr>
                <w:rFonts w:ascii="Calibri" w:hAnsi="Calibri" w:cs="Times New Roman"/>
              </w:rPr>
              <w:t>ringfence</w:t>
            </w:r>
            <w:r>
              <w:rPr>
                <w:rFonts w:ascii="Calibri" w:hAnsi="Calibri" w:cs="Times New Roman"/>
              </w:rPr>
              <w:t>d</w:t>
            </w:r>
            <w:r w:rsidRPr="00634BC2">
              <w:rPr>
                <w:rFonts w:ascii="Calibri" w:hAnsi="Calibri" w:cs="Times New Roman"/>
              </w:rPr>
              <w:t xml:space="preserve"> </w:t>
            </w:r>
            <w:r>
              <w:rPr>
                <w:rFonts w:ascii="Calibri" w:hAnsi="Calibri" w:cs="Times New Roman"/>
              </w:rPr>
              <w:t xml:space="preserve">£400k equipment budget to </w:t>
            </w:r>
            <w:r w:rsidR="004E6FA2">
              <w:rPr>
                <w:rFonts w:ascii="Calibri" w:hAnsi="Calibri" w:cs="Times New Roman"/>
              </w:rPr>
              <w:t>reallocate to build costs</w:t>
            </w:r>
            <w:r>
              <w:rPr>
                <w:rFonts w:ascii="Calibri" w:hAnsi="Calibri" w:cs="Times New Roman"/>
              </w:rPr>
              <w:t xml:space="preserve">. AR reassured SIP that the project still expected alternative public and private sector investment and/or sponsorship to cover the reallocated £200k </w:t>
            </w:r>
            <w:r w:rsidR="004E6FA2">
              <w:rPr>
                <w:rFonts w:ascii="Calibri" w:hAnsi="Calibri" w:cs="Times New Roman"/>
              </w:rPr>
              <w:t>equipment budget</w:t>
            </w:r>
            <w:r w:rsidR="00B312FC">
              <w:rPr>
                <w:rFonts w:ascii="Calibri" w:hAnsi="Calibri" w:cs="Times New Roman"/>
              </w:rPr>
              <w:t xml:space="preserve"> so overall outputs won’t be affected</w:t>
            </w:r>
            <w:r w:rsidR="004E6FA2">
              <w:rPr>
                <w:rFonts w:ascii="Calibri" w:hAnsi="Calibri" w:cs="Times New Roman"/>
              </w:rPr>
              <w:t xml:space="preserve">. </w:t>
            </w:r>
          </w:p>
          <w:p w14:paraId="4C951D22" w14:textId="77777777" w:rsidR="00634BC2" w:rsidRDefault="00634BC2" w:rsidP="004B2A56">
            <w:pPr>
              <w:rPr>
                <w:rFonts w:ascii="Calibri" w:hAnsi="Calibri" w:cs="Times New Roman"/>
              </w:rPr>
            </w:pPr>
          </w:p>
          <w:p w14:paraId="49D7CD20" w14:textId="189BFE1F" w:rsidR="00634BC2" w:rsidRPr="00634BC2" w:rsidRDefault="00634BC2" w:rsidP="004B2A56">
            <w:pPr>
              <w:rPr>
                <w:rFonts w:ascii="Calibri" w:hAnsi="Calibri" w:cs="Times New Roman"/>
                <w:b/>
                <w:u w:val="single"/>
              </w:rPr>
            </w:pPr>
            <w:r w:rsidRPr="00634BC2">
              <w:rPr>
                <w:rFonts w:ascii="Calibri" w:hAnsi="Calibri" w:cs="Times New Roman"/>
                <w:b/>
                <w:u w:val="single"/>
              </w:rPr>
              <w:t xml:space="preserve">Decision: SIP agreed that </w:t>
            </w:r>
            <w:r w:rsidR="00551890">
              <w:rPr>
                <w:rFonts w:ascii="Calibri" w:hAnsi="Calibri" w:cs="Times New Roman"/>
                <w:b/>
                <w:u w:val="single"/>
              </w:rPr>
              <w:t>O</w:t>
            </w:r>
            <w:r w:rsidRPr="00634BC2">
              <w:rPr>
                <w:rFonts w:ascii="Calibri" w:hAnsi="Calibri" w:cs="Times New Roman"/>
                <w:b/>
                <w:u w:val="single"/>
              </w:rPr>
              <w:t>ption 1 was not viable and approve</w:t>
            </w:r>
            <w:r w:rsidR="004E6FA2">
              <w:rPr>
                <w:rFonts w:ascii="Calibri" w:hAnsi="Calibri" w:cs="Times New Roman"/>
                <w:b/>
                <w:u w:val="single"/>
              </w:rPr>
              <w:t>d</w:t>
            </w:r>
            <w:r w:rsidRPr="00634BC2">
              <w:rPr>
                <w:rFonts w:ascii="Calibri" w:hAnsi="Calibri" w:cs="Times New Roman"/>
                <w:b/>
                <w:u w:val="single"/>
              </w:rPr>
              <w:t xml:space="preserve"> </w:t>
            </w:r>
            <w:r w:rsidR="00551890">
              <w:rPr>
                <w:rFonts w:ascii="Calibri" w:hAnsi="Calibri" w:cs="Times New Roman"/>
                <w:b/>
                <w:u w:val="single"/>
              </w:rPr>
              <w:t>O</w:t>
            </w:r>
            <w:r w:rsidRPr="00634BC2">
              <w:rPr>
                <w:rFonts w:ascii="Calibri" w:hAnsi="Calibri" w:cs="Times New Roman"/>
                <w:b/>
                <w:u w:val="single"/>
              </w:rPr>
              <w:t>ption 2</w:t>
            </w:r>
            <w:r w:rsidR="004E6FA2">
              <w:rPr>
                <w:rFonts w:ascii="Calibri" w:hAnsi="Calibri" w:cs="Times New Roman"/>
                <w:b/>
                <w:u w:val="single"/>
              </w:rPr>
              <w:t xml:space="preserve"> to reallocate equipment budget</w:t>
            </w:r>
            <w:r w:rsidR="00E11345">
              <w:rPr>
                <w:rFonts w:ascii="Calibri" w:hAnsi="Calibri" w:cs="Times New Roman"/>
                <w:b/>
                <w:u w:val="single"/>
              </w:rPr>
              <w:t xml:space="preserve">. </w:t>
            </w:r>
            <w:r w:rsidR="004E6FA2">
              <w:rPr>
                <w:rFonts w:ascii="Calibri" w:hAnsi="Calibri" w:cs="Times New Roman"/>
                <w:b/>
                <w:u w:val="single"/>
              </w:rPr>
              <w:t>T</w:t>
            </w:r>
            <w:r w:rsidR="00551890">
              <w:rPr>
                <w:rFonts w:ascii="Calibri" w:hAnsi="Calibri" w:cs="Times New Roman"/>
                <w:b/>
                <w:u w:val="single"/>
              </w:rPr>
              <w:t>he project has</w:t>
            </w:r>
            <w:r w:rsidR="00E11345">
              <w:rPr>
                <w:rFonts w:ascii="Calibri" w:hAnsi="Calibri" w:cs="Times New Roman"/>
                <w:b/>
                <w:u w:val="single"/>
              </w:rPr>
              <w:t xml:space="preserve"> a high degree of confidence that the gap left </w:t>
            </w:r>
            <w:r w:rsidR="00551890">
              <w:rPr>
                <w:rFonts w:ascii="Calibri" w:hAnsi="Calibri" w:cs="Times New Roman"/>
                <w:b/>
                <w:u w:val="single"/>
              </w:rPr>
              <w:t xml:space="preserve">in the equipment budget </w:t>
            </w:r>
            <w:r w:rsidR="00E11345">
              <w:rPr>
                <w:rFonts w:ascii="Calibri" w:hAnsi="Calibri" w:cs="Times New Roman"/>
                <w:b/>
                <w:u w:val="single"/>
              </w:rPr>
              <w:t xml:space="preserve">from the </w:t>
            </w:r>
            <w:r w:rsidR="00551890">
              <w:rPr>
                <w:rFonts w:ascii="Calibri" w:hAnsi="Calibri" w:cs="Times New Roman"/>
                <w:b/>
                <w:u w:val="single"/>
              </w:rPr>
              <w:t xml:space="preserve">reallocation will be filled by </w:t>
            </w:r>
            <w:r w:rsidR="00A50BC4">
              <w:rPr>
                <w:rFonts w:ascii="Calibri" w:hAnsi="Calibri" w:cs="Times New Roman"/>
                <w:b/>
                <w:u w:val="single"/>
              </w:rPr>
              <w:t xml:space="preserve">either </w:t>
            </w:r>
            <w:r w:rsidR="00551890">
              <w:rPr>
                <w:rFonts w:ascii="Calibri" w:hAnsi="Calibri" w:cs="Times New Roman"/>
                <w:b/>
                <w:u w:val="single"/>
              </w:rPr>
              <w:t xml:space="preserve">the private sector and/or other </w:t>
            </w:r>
            <w:proofErr w:type="gramStart"/>
            <w:r w:rsidR="00551890">
              <w:rPr>
                <w:rFonts w:ascii="Calibri" w:hAnsi="Calibri" w:cs="Times New Roman"/>
                <w:b/>
                <w:u w:val="single"/>
              </w:rPr>
              <w:t>public sector</w:t>
            </w:r>
            <w:proofErr w:type="gramEnd"/>
            <w:r w:rsidR="00551890">
              <w:rPr>
                <w:rFonts w:ascii="Calibri" w:hAnsi="Calibri" w:cs="Times New Roman"/>
                <w:b/>
                <w:u w:val="single"/>
              </w:rPr>
              <w:t xml:space="preserve"> funds</w:t>
            </w:r>
            <w:r w:rsidRPr="00634BC2">
              <w:rPr>
                <w:rFonts w:ascii="Calibri" w:hAnsi="Calibri" w:cs="Times New Roman"/>
                <w:b/>
                <w:u w:val="single"/>
              </w:rPr>
              <w:t>.</w:t>
            </w:r>
          </w:p>
        </w:tc>
        <w:tc>
          <w:tcPr>
            <w:tcW w:w="1602" w:type="dxa"/>
            <w:tcBorders>
              <w:bottom w:val="thinThickThinLargeGap" w:sz="24" w:space="0" w:color="auto"/>
            </w:tcBorders>
          </w:tcPr>
          <w:p w14:paraId="76E50E21" w14:textId="77777777" w:rsidR="00D246F9" w:rsidRDefault="00D246F9" w:rsidP="004B2A56">
            <w:pPr>
              <w:rPr>
                <w:rFonts w:ascii="Calibri" w:hAnsi="Calibri" w:cs="Arial"/>
              </w:rPr>
            </w:pPr>
          </w:p>
        </w:tc>
      </w:tr>
      <w:tr w:rsidR="00D246F9" w:rsidRPr="004B2A56" w14:paraId="7C1DF946" w14:textId="77777777" w:rsidTr="00E96166">
        <w:trPr>
          <w:gridAfter w:val="1"/>
          <w:wAfter w:w="18" w:type="dxa"/>
        </w:trPr>
        <w:tc>
          <w:tcPr>
            <w:tcW w:w="1128" w:type="dxa"/>
            <w:tcBorders>
              <w:top w:val="thinThickThinLargeGap" w:sz="24" w:space="0" w:color="auto"/>
            </w:tcBorders>
            <w:shd w:val="clear" w:color="auto" w:fill="95B3D7" w:themeFill="accent1" w:themeFillTint="99"/>
          </w:tcPr>
          <w:p w14:paraId="4A96EC82" w14:textId="213BB449" w:rsidR="00D246F9" w:rsidRPr="004B2A56" w:rsidRDefault="00D246F9" w:rsidP="004B2A56">
            <w:pPr>
              <w:rPr>
                <w:rFonts w:ascii="Calibri" w:hAnsi="Calibri" w:cs="Times New Roman"/>
                <w:b/>
              </w:rPr>
            </w:pPr>
            <w:r>
              <w:rPr>
                <w:rFonts w:ascii="Calibri" w:hAnsi="Calibri" w:cs="Times New Roman"/>
                <w:b/>
              </w:rPr>
              <w:t>5</w:t>
            </w:r>
          </w:p>
        </w:tc>
        <w:tc>
          <w:tcPr>
            <w:tcW w:w="7908" w:type="dxa"/>
            <w:gridSpan w:val="3"/>
            <w:tcBorders>
              <w:top w:val="thinThickThinLargeGap" w:sz="24" w:space="0" w:color="auto"/>
            </w:tcBorders>
            <w:shd w:val="clear" w:color="auto" w:fill="95B3D7" w:themeFill="accent1" w:themeFillTint="99"/>
          </w:tcPr>
          <w:p w14:paraId="51671F06" w14:textId="254F42A3" w:rsidR="00D246F9" w:rsidRPr="004B2A56" w:rsidRDefault="00D246F9" w:rsidP="004B2A56">
            <w:pPr>
              <w:rPr>
                <w:rFonts w:ascii="Calibri" w:hAnsi="Calibri" w:cs="Arial"/>
                <w:b/>
              </w:rPr>
            </w:pPr>
            <w:r w:rsidRPr="00FC157C">
              <w:rPr>
                <w:rFonts w:ascii="Calibri" w:hAnsi="Calibri" w:cs="Arial"/>
                <w:b/>
              </w:rPr>
              <w:t>Investment Programme delivery</w:t>
            </w:r>
          </w:p>
        </w:tc>
      </w:tr>
      <w:tr w:rsidR="00D246F9" w:rsidRPr="004B2A56" w14:paraId="7178B5D8" w14:textId="77777777" w:rsidTr="008B29F5">
        <w:trPr>
          <w:gridAfter w:val="1"/>
          <w:wAfter w:w="18" w:type="dxa"/>
        </w:trPr>
        <w:tc>
          <w:tcPr>
            <w:tcW w:w="1128" w:type="dxa"/>
            <w:shd w:val="clear" w:color="auto" w:fill="E5B8B7" w:themeFill="accent2" w:themeFillTint="66"/>
          </w:tcPr>
          <w:p w14:paraId="4F386B63" w14:textId="72CC70E8" w:rsidR="00D246F9" w:rsidRDefault="00D246F9" w:rsidP="004B2A56">
            <w:pPr>
              <w:rPr>
                <w:rFonts w:ascii="Calibri" w:hAnsi="Calibri" w:cs="Times New Roman"/>
                <w:b/>
              </w:rPr>
            </w:pPr>
            <w:r>
              <w:rPr>
                <w:rFonts w:ascii="Calibri" w:hAnsi="Calibri" w:cs="Times New Roman"/>
                <w:b/>
              </w:rPr>
              <w:t>5.1</w:t>
            </w:r>
          </w:p>
        </w:tc>
        <w:tc>
          <w:tcPr>
            <w:tcW w:w="7908" w:type="dxa"/>
            <w:gridSpan w:val="3"/>
            <w:shd w:val="clear" w:color="auto" w:fill="E5B8B7" w:themeFill="accent2" w:themeFillTint="66"/>
          </w:tcPr>
          <w:p w14:paraId="3E237628" w14:textId="5696CDC0" w:rsidR="00D246F9" w:rsidRPr="004746BD" w:rsidRDefault="00D246F9" w:rsidP="004B2A56">
            <w:pPr>
              <w:rPr>
                <w:rFonts w:ascii="Calibri" w:hAnsi="Calibri" w:cs="Times New Roman"/>
                <w:b/>
              </w:rPr>
            </w:pPr>
            <w:r w:rsidRPr="004746BD">
              <w:rPr>
                <w:rFonts w:ascii="Calibri" w:hAnsi="Calibri" w:cs="Times New Roman"/>
                <w:b/>
              </w:rPr>
              <w:t>Investment Programme report</w:t>
            </w:r>
          </w:p>
        </w:tc>
      </w:tr>
      <w:tr w:rsidR="00D246F9" w:rsidRPr="004B2A56" w14:paraId="7CDF27CF" w14:textId="77777777" w:rsidTr="00081ABD">
        <w:trPr>
          <w:gridAfter w:val="1"/>
          <w:wAfter w:w="18" w:type="dxa"/>
        </w:trPr>
        <w:tc>
          <w:tcPr>
            <w:tcW w:w="7434" w:type="dxa"/>
            <w:gridSpan w:val="3"/>
            <w:tcBorders>
              <w:bottom w:val="nil"/>
            </w:tcBorders>
            <w:shd w:val="clear" w:color="auto" w:fill="FFFFFF" w:themeFill="background1"/>
          </w:tcPr>
          <w:p w14:paraId="0BFF4B86" w14:textId="4A4B2E9D" w:rsidR="00081ABD" w:rsidRDefault="00081ABD" w:rsidP="004B2A56">
            <w:pPr>
              <w:rPr>
                <w:rFonts w:ascii="Calibri" w:hAnsi="Calibri" w:cs="Times New Roman"/>
              </w:rPr>
            </w:pPr>
            <w:r>
              <w:rPr>
                <w:rFonts w:ascii="Calibri" w:hAnsi="Calibri" w:cs="Times New Roman"/>
              </w:rPr>
              <w:t xml:space="preserve">MS informed SIP that the LEP had approved South </w:t>
            </w:r>
            <w:proofErr w:type="spellStart"/>
            <w:r>
              <w:rPr>
                <w:rFonts w:ascii="Calibri" w:hAnsi="Calibri" w:cs="Times New Roman"/>
              </w:rPr>
              <w:t>Molton’s</w:t>
            </w:r>
            <w:proofErr w:type="spellEnd"/>
            <w:r>
              <w:rPr>
                <w:rFonts w:ascii="Calibri" w:hAnsi="Calibri" w:cs="Times New Roman"/>
              </w:rPr>
              <w:t xml:space="preserve"> business case, leaving just one GD2 project (Exeter Science Park’s Open I</w:t>
            </w:r>
            <w:r w:rsidR="004E6FA2">
              <w:rPr>
                <w:rFonts w:ascii="Calibri" w:hAnsi="Calibri" w:cs="Times New Roman"/>
              </w:rPr>
              <w:t>nnovation Building) to be approved</w:t>
            </w:r>
            <w:r>
              <w:rPr>
                <w:rFonts w:ascii="Calibri" w:hAnsi="Calibri" w:cs="Times New Roman"/>
              </w:rPr>
              <w:t xml:space="preserve"> (set for review at June SIP).</w:t>
            </w:r>
            <w:r w:rsidR="004E6FA2">
              <w:rPr>
                <w:rFonts w:ascii="Calibri" w:hAnsi="Calibri" w:cs="Times New Roman"/>
              </w:rPr>
              <w:t xml:space="preserve"> MS expressed concern regarding the slow speed of GD3 projects coming forward for business case approval.</w:t>
            </w:r>
          </w:p>
          <w:p w14:paraId="35084C0A" w14:textId="77777777" w:rsidR="009162BB" w:rsidRDefault="009162BB" w:rsidP="004B2A56">
            <w:pPr>
              <w:rPr>
                <w:rFonts w:ascii="Calibri" w:hAnsi="Calibri" w:cs="Times New Roman"/>
              </w:rPr>
            </w:pPr>
          </w:p>
          <w:p w14:paraId="057E6AD0" w14:textId="52186221" w:rsidR="009162BB" w:rsidRPr="00551890" w:rsidRDefault="009162BB" w:rsidP="004B2A56">
            <w:pPr>
              <w:rPr>
                <w:rFonts w:ascii="Calibri" w:hAnsi="Calibri" w:cs="Times New Roman"/>
              </w:rPr>
            </w:pPr>
            <w:r w:rsidRPr="00551890">
              <w:rPr>
                <w:rFonts w:ascii="Calibri" w:hAnsi="Calibri" w:cs="Times New Roman"/>
              </w:rPr>
              <w:t>SIP agreed the LEP would still seek evidence of progress during business case development, even if a project was experiencing delays and requested that a briefing be produced highlighting any projects of concern by next SIP.</w:t>
            </w:r>
          </w:p>
        </w:tc>
        <w:tc>
          <w:tcPr>
            <w:tcW w:w="1602" w:type="dxa"/>
            <w:tcBorders>
              <w:bottom w:val="nil"/>
            </w:tcBorders>
            <w:shd w:val="clear" w:color="auto" w:fill="FFFFFF" w:themeFill="background1"/>
          </w:tcPr>
          <w:p w14:paraId="3A44CFA8" w14:textId="784A14EA" w:rsidR="006A236C" w:rsidRPr="004B2A56" w:rsidRDefault="006A236C" w:rsidP="004B2A56">
            <w:pPr>
              <w:rPr>
                <w:rFonts w:ascii="Calibri" w:hAnsi="Calibri" w:cs="Arial"/>
                <w:b/>
              </w:rPr>
            </w:pPr>
          </w:p>
        </w:tc>
      </w:tr>
      <w:tr w:rsidR="00081ABD" w:rsidRPr="004B2A56" w14:paraId="0FB016C7" w14:textId="77777777" w:rsidTr="009162BB">
        <w:trPr>
          <w:gridAfter w:val="1"/>
          <w:wAfter w:w="18" w:type="dxa"/>
        </w:trPr>
        <w:tc>
          <w:tcPr>
            <w:tcW w:w="7434" w:type="dxa"/>
            <w:gridSpan w:val="3"/>
            <w:tcBorders>
              <w:top w:val="nil"/>
              <w:bottom w:val="nil"/>
            </w:tcBorders>
            <w:shd w:val="clear" w:color="auto" w:fill="FFFFFF" w:themeFill="background1"/>
          </w:tcPr>
          <w:p w14:paraId="1ABFC161" w14:textId="6162B3AE" w:rsidR="00081ABD" w:rsidRDefault="00081ABD" w:rsidP="004B2A56">
            <w:pPr>
              <w:rPr>
                <w:rFonts w:ascii="Calibri" w:hAnsi="Calibri" w:cs="Times New Roman"/>
              </w:rPr>
            </w:pPr>
            <w:r w:rsidRPr="00081ABD">
              <w:rPr>
                <w:rFonts w:ascii="Calibri" w:hAnsi="Calibri" w:cs="Times New Roman"/>
                <w:b/>
                <w:u w:val="single"/>
              </w:rPr>
              <w:t>Action:</w:t>
            </w:r>
            <w:r>
              <w:rPr>
                <w:rFonts w:ascii="Calibri" w:hAnsi="Calibri" w:cs="Times New Roman"/>
              </w:rPr>
              <w:t xml:space="preserve"> Send copy of outputs letter to all theme leads</w:t>
            </w:r>
            <w:r w:rsidR="009162BB">
              <w:rPr>
                <w:rFonts w:ascii="Calibri" w:hAnsi="Calibri" w:cs="Times New Roman"/>
              </w:rPr>
              <w:t>.</w:t>
            </w:r>
          </w:p>
        </w:tc>
        <w:tc>
          <w:tcPr>
            <w:tcW w:w="1602" w:type="dxa"/>
            <w:tcBorders>
              <w:top w:val="nil"/>
              <w:bottom w:val="nil"/>
            </w:tcBorders>
            <w:shd w:val="clear" w:color="auto" w:fill="FFFFFF" w:themeFill="background1"/>
            <w:vAlign w:val="center"/>
          </w:tcPr>
          <w:p w14:paraId="496A579E" w14:textId="361379FF" w:rsidR="00081ABD" w:rsidRPr="004B2A56" w:rsidRDefault="00081ABD" w:rsidP="006A236C">
            <w:pPr>
              <w:rPr>
                <w:rFonts w:ascii="Calibri" w:hAnsi="Calibri" w:cs="Arial"/>
                <w:b/>
              </w:rPr>
            </w:pPr>
            <w:r>
              <w:rPr>
                <w:rFonts w:ascii="Calibri" w:hAnsi="Calibri" w:cs="Arial"/>
                <w:b/>
              </w:rPr>
              <w:t>MS</w:t>
            </w:r>
          </w:p>
        </w:tc>
      </w:tr>
      <w:tr w:rsidR="009162BB" w:rsidRPr="004B2A56" w14:paraId="07F8DEEF" w14:textId="77777777" w:rsidTr="00C8346E">
        <w:trPr>
          <w:gridAfter w:val="1"/>
          <w:wAfter w:w="18" w:type="dxa"/>
        </w:trPr>
        <w:tc>
          <w:tcPr>
            <w:tcW w:w="7434" w:type="dxa"/>
            <w:gridSpan w:val="3"/>
            <w:tcBorders>
              <w:top w:val="nil"/>
            </w:tcBorders>
            <w:shd w:val="clear" w:color="auto" w:fill="FFFFFF" w:themeFill="background1"/>
          </w:tcPr>
          <w:p w14:paraId="17C398E4" w14:textId="77777777" w:rsidR="009162BB" w:rsidRDefault="009162BB" w:rsidP="004B2A56">
            <w:pPr>
              <w:rPr>
                <w:rFonts w:ascii="Calibri" w:hAnsi="Calibri" w:cs="Times New Roman"/>
              </w:rPr>
            </w:pPr>
            <w:r>
              <w:rPr>
                <w:rFonts w:ascii="Calibri" w:hAnsi="Calibri" w:cs="Times New Roman"/>
                <w:b/>
                <w:u w:val="single"/>
              </w:rPr>
              <w:t>Action:</w:t>
            </w:r>
            <w:r w:rsidRPr="009162BB">
              <w:rPr>
                <w:rFonts w:ascii="Calibri" w:hAnsi="Calibri" w:cs="Times New Roman"/>
              </w:rPr>
              <w:t xml:space="preserve"> Produce briefing note on progress of projects which have pending business cases</w:t>
            </w:r>
            <w:r>
              <w:rPr>
                <w:rFonts w:ascii="Calibri" w:hAnsi="Calibri" w:cs="Times New Roman"/>
              </w:rPr>
              <w:t>.</w:t>
            </w:r>
          </w:p>
          <w:p w14:paraId="75BC7F1F" w14:textId="77777777" w:rsidR="00252964" w:rsidRDefault="00252964" w:rsidP="004B2A56">
            <w:pPr>
              <w:rPr>
                <w:rFonts w:ascii="Calibri" w:hAnsi="Calibri" w:cs="Times New Roman"/>
              </w:rPr>
            </w:pPr>
          </w:p>
          <w:p w14:paraId="2D0C987C" w14:textId="77777777" w:rsidR="00252964" w:rsidRDefault="00252964" w:rsidP="004B2A56">
            <w:pPr>
              <w:rPr>
                <w:rFonts w:ascii="Calibri" w:hAnsi="Calibri" w:cs="Times New Roman"/>
              </w:rPr>
            </w:pPr>
          </w:p>
          <w:p w14:paraId="74576A62" w14:textId="3FD016EF" w:rsidR="00252964" w:rsidRDefault="00252964" w:rsidP="004B2A56">
            <w:pPr>
              <w:rPr>
                <w:rFonts w:ascii="Calibri" w:hAnsi="Calibri" w:cs="Times New Roman"/>
                <w:b/>
                <w:u w:val="single"/>
              </w:rPr>
            </w:pPr>
          </w:p>
        </w:tc>
        <w:tc>
          <w:tcPr>
            <w:tcW w:w="1602" w:type="dxa"/>
            <w:tcBorders>
              <w:top w:val="nil"/>
            </w:tcBorders>
            <w:shd w:val="clear" w:color="auto" w:fill="FFFFFF" w:themeFill="background1"/>
          </w:tcPr>
          <w:p w14:paraId="589930FA" w14:textId="2E5AAFE6" w:rsidR="009162BB" w:rsidRDefault="009162BB" w:rsidP="006A236C">
            <w:pPr>
              <w:rPr>
                <w:rFonts w:ascii="Calibri" w:hAnsi="Calibri" w:cs="Arial"/>
                <w:b/>
              </w:rPr>
            </w:pPr>
            <w:r>
              <w:rPr>
                <w:rFonts w:ascii="Calibri" w:hAnsi="Calibri" w:cs="Arial"/>
                <w:b/>
              </w:rPr>
              <w:t>MS/EC</w:t>
            </w:r>
          </w:p>
        </w:tc>
      </w:tr>
      <w:tr w:rsidR="00D246F9" w:rsidRPr="004B2A56" w14:paraId="46006744" w14:textId="77777777" w:rsidTr="001A339E">
        <w:trPr>
          <w:gridAfter w:val="1"/>
          <w:wAfter w:w="18" w:type="dxa"/>
        </w:trPr>
        <w:tc>
          <w:tcPr>
            <w:tcW w:w="1128" w:type="dxa"/>
            <w:shd w:val="clear" w:color="auto" w:fill="C6D9F1" w:themeFill="text2" w:themeFillTint="33"/>
          </w:tcPr>
          <w:p w14:paraId="21C02E7A" w14:textId="6FDD246A" w:rsidR="00D246F9" w:rsidRPr="004B2A56" w:rsidRDefault="00D246F9" w:rsidP="00D246F9">
            <w:pPr>
              <w:rPr>
                <w:rFonts w:ascii="Calibri" w:hAnsi="Calibri" w:cs="Times New Roman"/>
                <w:b/>
              </w:rPr>
            </w:pPr>
            <w:r>
              <w:rPr>
                <w:rFonts w:ascii="Calibri" w:hAnsi="Calibri" w:cs="Times New Roman"/>
                <w:b/>
              </w:rPr>
              <w:t>5.1.1</w:t>
            </w:r>
          </w:p>
        </w:tc>
        <w:tc>
          <w:tcPr>
            <w:tcW w:w="7908" w:type="dxa"/>
            <w:gridSpan w:val="3"/>
            <w:shd w:val="clear" w:color="auto" w:fill="C6D9F1" w:themeFill="text2" w:themeFillTint="33"/>
          </w:tcPr>
          <w:p w14:paraId="433AE8C3" w14:textId="72BF00CC" w:rsidR="00D246F9" w:rsidRPr="004B2A56" w:rsidRDefault="00D246F9" w:rsidP="00D246F9">
            <w:pPr>
              <w:rPr>
                <w:rFonts w:ascii="Calibri" w:hAnsi="Calibri" w:cs="Arial"/>
              </w:rPr>
            </w:pPr>
            <w:r>
              <w:rPr>
                <w:rFonts w:ascii="Calibri" w:hAnsi="Calibri" w:cs="Times New Roman"/>
                <w:b/>
              </w:rPr>
              <w:t>Programme Summary</w:t>
            </w:r>
          </w:p>
        </w:tc>
      </w:tr>
      <w:tr w:rsidR="00911C0A" w:rsidRPr="004B2A56" w14:paraId="11EFA28C" w14:textId="77777777" w:rsidTr="00393660">
        <w:trPr>
          <w:gridAfter w:val="1"/>
          <w:wAfter w:w="18" w:type="dxa"/>
        </w:trPr>
        <w:tc>
          <w:tcPr>
            <w:tcW w:w="7434" w:type="dxa"/>
            <w:gridSpan w:val="3"/>
            <w:tcBorders>
              <w:top w:val="nil"/>
              <w:bottom w:val="nil"/>
            </w:tcBorders>
            <w:shd w:val="clear" w:color="auto" w:fill="FFFFFF" w:themeFill="background1"/>
          </w:tcPr>
          <w:p w14:paraId="40DCBC03" w14:textId="7FD3AA74" w:rsidR="00911C0A" w:rsidRPr="00911C0A" w:rsidRDefault="00911C0A" w:rsidP="00911C0A">
            <w:pPr>
              <w:rPr>
                <w:rFonts w:ascii="Calibri" w:hAnsi="Calibri" w:cs="Times New Roman"/>
              </w:rPr>
            </w:pPr>
            <w:r w:rsidRPr="00911C0A">
              <w:rPr>
                <w:rFonts w:ascii="Calibri" w:hAnsi="Calibri" w:cs="Times New Roman"/>
              </w:rPr>
              <w:t>MS updated SIP on the latest project summary, mentioning that a revised funding profile would be produced for the next SIP meeting.</w:t>
            </w:r>
          </w:p>
        </w:tc>
        <w:tc>
          <w:tcPr>
            <w:tcW w:w="1602" w:type="dxa"/>
            <w:tcBorders>
              <w:top w:val="nil"/>
              <w:bottom w:val="nil"/>
            </w:tcBorders>
            <w:shd w:val="clear" w:color="auto" w:fill="FFFFFF" w:themeFill="background1"/>
            <w:vAlign w:val="center"/>
          </w:tcPr>
          <w:p w14:paraId="6F25A31E" w14:textId="77777777" w:rsidR="00911C0A" w:rsidRDefault="00911C0A" w:rsidP="00911C0A">
            <w:pPr>
              <w:rPr>
                <w:rFonts w:ascii="Calibri" w:hAnsi="Calibri" w:cs="Arial"/>
                <w:b/>
              </w:rPr>
            </w:pPr>
          </w:p>
        </w:tc>
      </w:tr>
      <w:tr w:rsidR="00911C0A" w:rsidRPr="004B2A56" w14:paraId="412AA550" w14:textId="77777777" w:rsidTr="00393660">
        <w:trPr>
          <w:gridAfter w:val="1"/>
          <w:wAfter w:w="18" w:type="dxa"/>
        </w:trPr>
        <w:tc>
          <w:tcPr>
            <w:tcW w:w="7434" w:type="dxa"/>
            <w:gridSpan w:val="3"/>
            <w:tcBorders>
              <w:top w:val="nil"/>
              <w:bottom w:val="nil"/>
            </w:tcBorders>
            <w:shd w:val="clear" w:color="auto" w:fill="FFFFFF" w:themeFill="background1"/>
          </w:tcPr>
          <w:p w14:paraId="4943CE49" w14:textId="3CE7C721" w:rsidR="00911C0A" w:rsidRPr="004B2A56" w:rsidRDefault="00911C0A" w:rsidP="00911C0A">
            <w:pPr>
              <w:rPr>
                <w:rFonts w:ascii="Calibri" w:hAnsi="Calibri" w:cs="Times New Roman"/>
              </w:rPr>
            </w:pPr>
            <w:r>
              <w:rPr>
                <w:rFonts w:ascii="Calibri" w:hAnsi="Calibri" w:cs="Times New Roman"/>
                <w:b/>
                <w:u w:val="single"/>
              </w:rPr>
              <w:t>Action:</w:t>
            </w:r>
            <w:r w:rsidRPr="009162BB">
              <w:rPr>
                <w:rFonts w:ascii="Calibri" w:hAnsi="Calibri" w:cs="Times New Roman"/>
              </w:rPr>
              <w:t xml:space="preserve"> Produce funding profile for next SIP meeting</w:t>
            </w:r>
            <w:r>
              <w:rPr>
                <w:rFonts w:ascii="Calibri" w:hAnsi="Calibri" w:cs="Times New Roman"/>
              </w:rPr>
              <w:t>.</w:t>
            </w:r>
          </w:p>
        </w:tc>
        <w:tc>
          <w:tcPr>
            <w:tcW w:w="1602" w:type="dxa"/>
            <w:tcBorders>
              <w:top w:val="nil"/>
              <w:bottom w:val="nil"/>
            </w:tcBorders>
            <w:shd w:val="clear" w:color="auto" w:fill="FFFFFF" w:themeFill="background1"/>
            <w:vAlign w:val="center"/>
          </w:tcPr>
          <w:p w14:paraId="494D9A70" w14:textId="22CF0AFE" w:rsidR="00911C0A" w:rsidRPr="004B2A56" w:rsidRDefault="00911C0A" w:rsidP="006A236C">
            <w:pPr>
              <w:rPr>
                <w:rFonts w:ascii="Calibri" w:hAnsi="Calibri" w:cs="Arial"/>
              </w:rPr>
            </w:pPr>
            <w:r>
              <w:rPr>
                <w:rFonts w:ascii="Calibri" w:hAnsi="Calibri" w:cs="Arial"/>
                <w:b/>
              </w:rPr>
              <w:t>MS</w:t>
            </w:r>
          </w:p>
        </w:tc>
      </w:tr>
      <w:tr w:rsidR="00911C0A" w:rsidRPr="004B2A56" w14:paraId="6D038E12" w14:textId="77777777" w:rsidTr="008B29F5">
        <w:trPr>
          <w:gridAfter w:val="1"/>
          <w:wAfter w:w="18" w:type="dxa"/>
        </w:trPr>
        <w:tc>
          <w:tcPr>
            <w:tcW w:w="1128" w:type="dxa"/>
            <w:shd w:val="clear" w:color="auto" w:fill="E5B8B7" w:themeFill="accent2" w:themeFillTint="66"/>
          </w:tcPr>
          <w:p w14:paraId="23027CF9" w14:textId="3A33ED6C" w:rsidR="00911C0A" w:rsidRPr="004B2A56" w:rsidRDefault="00911C0A" w:rsidP="00911C0A">
            <w:pPr>
              <w:rPr>
                <w:rFonts w:ascii="Calibri" w:hAnsi="Calibri" w:cs="Times New Roman"/>
                <w:b/>
              </w:rPr>
            </w:pPr>
            <w:r>
              <w:rPr>
                <w:rFonts w:ascii="Calibri" w:hAnsi="Calibri" w:cs="Times New Roman"/>
                <w:b/>
              </w:rPr>
              <w:t>5.2</w:t>
            </w:r>
          </w:p>
        </w:tc>
        <w:tc>
          <w:tcPr>
            <w:tcW w:w="7908" w:type="dxa"/>
            <w:gridSpan w:val="3"/>
            <w:shd w:val="clear" w:color="auto" w:fill="E5B8B7" w:themeFill="accent2" w:themeFillTint="66"/>
          </w:tcPr>
          <w:p w14:paraId="4374A5A5" w14:textId="37E3035D" w:rsidR="00911C0A" w:rsidRPr="004746BD" w:rsidRDefault="00911C0A" w:rsidP="00911C0A">
            <w:pPr>
              <w:rPr>
                <w:rFonts w:ascii="Calibri" w:hAnsi="Calibri" w:cs="Arial"/>
                <w:b/>
              </w:rPr>
            </w:pPr>
            <w:r w:rsidRPr="004746BD">
              <w:rPr>
                <w:rFonts w:ascii="Calibri" w:hAnsi="Calibri" w:cs="Times New Roman"/>
                <w:b/>
              </w:rPr>
              <w:t>Amber Project Review</w:t>
            </w:r>
          </w:p>
        </w:tc>
      </w:tr>
      <w:tr w:rsidR="00911C0A" w:rsidRPr="004B2A56" w14:paraId="39D4053F" w14:textId="77777777" w:rsidTr="001904DE">
        <w:trPr>
          <w:gridAfter w:val="1"/>
          <w:wAfter w:w="18" w:type="dxa"/>
        </w:trPr>
        <w:tc>
          <w:tcPr>
            <w:tcW w:w="7434" w:type="dxa"/>
            <w:gridSpan w:val="3"/>
            <w:tcBorders>
              <w:bottom w:val="nil"/>
            </w:tcBorders>
            <w:shd w:val="clear" w:color="auto" w:fill="FFFFFF" w:themeFill="background1"/>
          </w:tcPr>
          <w:p w14:paraId="44D44E1F" w14:textId="485E2879" w:rsidR="00911C0A" w:rsidRDefault="00911C0A" w:rsidP="00911C0A">
            <w:pPr>
              <w:rPr>
                <w:rFonts w:ascii="Calibri" w:hAnsi="Calibri" w:cs="Times New Roman"/>
              </w:rPr>
            </w:pPr>
            <w:r>
              <w:rPr>
                <w:rFonts w:ascii="Calibri" w:hAnsi="Calibri" w:cs="Times New Roman"/>
              </w:rPr>
              <w:t>MS informed SIP that the amber project list remained the same.</w:t>
            </w:r>
          </w:p>
          <w:p w14:paraId="32284053" w14:textId="77777777" w:rsidR="00911C0A" w:rsidRDefault="00911C0A" w:rsidP="00911C0A">
            <w:pPr>
              <w:rPr>
                <w:rFonts w:ascii="Calibri" w:hAnsi="Calibri" w:cs="Times New Roman"/>
              </w:rPr>
            </w:pPr>
          </w:p>
          <w:p w14:paraId="60162063" w14:textId="1D04E36D" w:rsidR="00911C0A" w:rsidRPr="006F1415" w:rsidRDefault="00911C0A" w:rsidP="001904DE">
            <w:pPr>
              <w:rPr>
                <w:rFonts w:ascii="Calibri" w:hAnsi="Calibri" w:cs="Times New Roman"/>
                <w:b/>
                <w:u w:val="single"/>
              </w:rPr>
            </w:pPr>
            <w:r>
              <w:rPr>
                <w:rFonts w:ascii="Calibri" w:hAnsi="Calibri" w:cs="Times New Roman"/>
              </w:rPr>
              <w:t>PH updated SIP on the 4G project progress to date, outlining the latest developments and barriers faced by the project.</w:t>
            </w:r>
          </w:p>
        </w:tc>
        <w:tc>
          <w:tcPr>
            <w:tcW w:w="1602" w:type="dxa"/>
            <w:tcBorders>
              <w:bottom w:val="nil"/>
            </w:tcBorders>
            <w:shd w:val="clear" w:color="auto" w:fill="FFFFFF" w:themeFill="background1"/>
          </w:tcPr>
          <w:p w14:paraId="44226084" w14:textId="77777777" w:rsidR="00911C0A" w:rsidRDefault="00911C0A" w:rsidP="00911C0A">
            <w:pPr>
              <w:rPr>
                <w:rFonts w:ascii="Calibri" w:hAnsi="Calibri" w:cs="Arial"/>
              </w:rPr>
            </w:pPr>
          </w:p>
          <w:p w14:paraId="28B0AB63" w14:textId="77777777" w:rsidR="001904DE" w:rsidRDefault="001904DE" w:rsidP="00911C0A">
            <w:pPr>
              <w:rPr>
                <w:rFonts w:ascii="Calibri" w:hAnsi="Calibri" w:cs="Arial"/>
              </w:rPr>
            </w:pPr>
          </w:p>
          <w:p w14:paraId="4BE56156" w14:textId="0D61D497" w:rsidR="001904DE" w:rsidRPr="001904DE" w:rsidRDefault="001904DE" w:rsidP="00911C0A">
            <w:pPr>
              <w:rPr>
                <w:rFonts w:ascii="Calibri" w:hAnsi="Calibri" w:cs="Arial"/>
                <w:b/>
              </w:rPr>
            </w:pPr>
          </w:p>
        </w:tc>
      </w:tr>
      <w:tr w:rsidR="001904DE" w:rsidRPr="004B2A56" w14:paraId="58F44FF1" w14:textId="77777777" w:rsidTr="001904DE">
        <w:trPr>
          <w:gridAfter w:val="1"/>
          <w:wAfter w:w="18" w:type="dxa"/>
        </w:trPr>
        <w:tc>
          <w:tcPr>
            <w:tcW w:w="7434" w:type="dxa"/>
            <w:gridSpan w:val="3"/>
            <w:tcBorders>
              <w:top w:val="nil"/>
            </w:tcBorders>
            <w:shd w:val="clear" w:color="auto" w:fill="FFFFFF" w:themeFill="background1"/>
          </w:tcPr>
          <w:p w14:paraId="4072E66E" w14:textId="0D593B2C" w:rsidR="001904DE" w:rsidRDefault="001904DE" w:rsidP="00911C0A">
            <w:pPr>
              <w:rPr>
                <w:rFonts w:ascii="Calibri" w:hAnsi="Calibri" w:cs="Times New Roman"/>
              </w:rPr>
            </w:pPr>
            <w:r w:rsidRPr="001904DE">
              <w:rPr>
                <w:rFonts w:ascii="Calibri" w:hAnsi="Calibri" w:cs="Times New Roman"/>
                <w:b/>
                <w:u w:val="single"/>
              </w:rPr>
              <w:t>Action:</w:t>
            </w:r>
            <w:r w:rsidRPr="001904DE">
              <w:rPr>
                <w:rFonts w:ascii="Calibri" w:hAnsi="Calibri" w:cs="Times New Roman"/>
              </w:rPr>
              <w:t xml:space="preserve"> Update SIP on the outcome of the State Aid clarifications and general progress</w:t>
            </w:r>
            <w:r w:rsidR="00252964">
              <w:rPr>
                <w:rFonts w:ascii="Calibri" w:hAnsi="Calibri" w:cs="Times New Roman"/>
              </w:rPr>
              <w:t xml:space="preserve"> of the 4G project</w:t>
            </w:r>
            <w:r w:rsidRPr="001904DE">
              <w:rPr>
                <w:rFonts w:ascii="Calibri" w:hAnsi="Calibri" w:cs="Times New Roman"/>
              </w:rPr>
              <w:t xml:space="preserve"> at May SIP.</w:t>
            </w:r>
          </w:p>
        </w:tc>
        <w:tc>
          <w:tcPr>
            <w:tcW w:w="1602" w:type="dxa"/>
            <w:tcBorders>
              <w:top w:val="nil"/>
            </w:tcBorders>
            <w:shd w:val="clear" w:color="auto" w:fill="FFFFFF" w:themeFill="background1"/>
            <w:vAlign w:val="center"/>
          </w:tcPr>
          <w:p w14:paraId="12FEEDC5" w14:textId="62CEDC5A" w:rsidR="001904DE" w:rsidRPr="001904DE" w:rsidRDefault="001904DE" w:rsidP="006A236C">
            <w:pPr>
              <w:rPr>
                <w:rFonts w:ascii="Calibri" w:hAnsi="Calibri" w:cs="Arial"/>
                <w:b/>
              </w:rPr>
            </w:pPr>
            <w:r w:rsidRPr="001904DE">
              <w:rPr>
                <w:rFonts w:ascii="Calibri" w:hAnsi="Calibri" w:cs="Arial"/>
                <w:b/>
              </w:rPr>
              <w:t>PH/EC</w:t>
            </w:r>
          </w:p>
        </w:tc>
      </w:tr>
      <w:tr w:rsidR="00911C0A" w:rsidRPr="004B2A56" w14:paraId="7C90F250" w14:textId="77777777" w:rsidTr="008B29F5">
        <w:trPr>
          <w:gridAfter w:val="1"/>
          <w:wAfter w:w="18" w:type="dxa"/>
        </w:trPr>
        <w:tc>
          <w:tcPr>
            <w:tcW w:w="1128" w:type="dxa"/>
            <w:shd w:val="clear" w:color="auto" w:fill="E5B8B7" w:themeFill="accent2" w:themeFillTint="66"/>
          </w:tcPr>
          <w:p w14:paraId="29EF66A9" w14:textId="6A22F0F0" w:rsidR="00911C0A" w:rsidRDefault="00911C0A" w:rsidP="00911C0A">
            <w:pPr>
              <w:rPr>
                <w:rFonts w:ascii="Calibri" w:hAnsi="Calibri" w:cs="Times New Roman"/>
                <w:b/>
              </w:rPr>
            </w:pPr>
            <w:r>
              <w:rPr>
                <w:rFonts w:ascii="Calibri" w:hAnsi="Calibri" w:cs="Times New Roman"/>
                <w:b/>
              </w:rPr>
              <w:t>5.3</w:t>
            </w:r>
          </w:p>
        </w:tc>
        <w:tc>
          <w:tcPr>
            <w:tcW w:w="7908" w:type="dxa"/>
            <w:gridSpan w:val="3"/>
            <w:shd w:val="clear" w:color="auto" w:fill="E5B8B7" w:themeFill="accent2" w:themeFillTint="66"/>
          </w:tcPr>
          <w:p w14:paraId="65189ECC" w14:textId="018C5EEA" w:rsidR="00911C0A" w:rsidRPr="004746BD" w:rsidRDefault="00911C0A" w:rsidP="00911C0A">
            <w:pPr>
              <w:rPr>
                <w:rFonts w:ascii="Calibri" w:hAnsi="Calibri" w:cs="Arial"/>
                <w:b/>
              </w:rPr>
            </w:pPr>
            <w:r w:rsidRPr="004746BD">
              <w:rPr>
                <w:rFonts w:ascii="Calibri" w:hAnsi="Calibri" w:cs="Arial"/>
                <w:b/>
              </w:rPr>
              <w:t>Marsh Barton Update</w:t>
            </w:r>
          </w:p>
        </w:tc>
      </w:tr>
      <w:tr w:rsidR="00911C0A" w:rsidRPr="004B2A56" w14:paraId="74C0AADC" w14:textId="77777777" w:rsidTr="00EC4A74">
        <w:trPr>
          <w:gridAfter w:val="1"/>
          <w:wAfter w:w="18" w:type="dxa"/>
        </w:trPr>
        <w:tc>
          <w:tcPr>
            <w:tcW w:w="7434" w:type="dxa"/>
            <w:gridSpan w:val="3"/>
            <w:tcBorders>
              <w:bottom w:val="nil"/>
            </w:tcBorders>
            <w:shd w:val="clear" w:color="auto" w:fill="FFFFFF" w:themeFill="background1"/>
          </w:tcPr>
          <w:p w14:paraId="52D6C665" w14:textId="6737CBC0" w:rsidR="00911C0A" w:rsidRDefault="0060330B" w:rsidP="00911C0A">
            <w:pPr>
              <w:rPr>
                <w:rFonts w:ascii="Calibri" w:hAnsi="Calibri" w:cs="Times New Roman"/>
              </w:rPr>
            </w:pPr>
            <w:r>
              <w:rPr>
                <w:rFonts w:ascii="Calibri" w:hAnsi="Calibri" w:cs="Times New Roman"/>
              </w:rPr>
              <w:t>IH updated</w:t>
            </w:r>
            <w:r w:rsidR="00911C0A">
              <w:rPr>
                <w:rFonts w:ascii="Calibri" w:hAnsi="Calibri" w:cs="Times New Roman"/>
              </w:rPr>
              <w:t xml:space="preserve"> SIP that </w:t>
            </w:r>
            <w:r>
              <w:rPr>
                <w:rFonts w:ascii="Calibri" w:hAnsi="Calibri" w:cs="Times New Roman"/>
              </w:rPr>
              <w:t xml:space="preserve">a LTB conference call had taken place to discuss the project and this informed the paper produced. </w:t>
            </w:r>
            <w:r w:rsidR="00911C0A">
              <w:rPr>
                <w:rFonts w:ascii="Calibri" w:hAnsi="Calibri" w:cs="Times New Roman"/>
              </w:rPr>
              <w:t xml:space="preserve">Devon County Council (DCC) has submitted a bid </w:t>
            </w:r>
            <w:r w:rsidR="00480A4D">
              <w:rPr>
                <w:rFonts w:ascii="Calibri" w:hAnsi="Calibri" w:cs="Times New Roman"/>
              </w:rPr>
              <w:t>to the</w:t>
            </w:r>
            <w:r w:rsidR="00911C0A">
              <w:rPr>
                <w:rFonts w:ascii="Calibri" w:hAnsi="Calibri" w:cs="Times New Roman"/>
              </w:rPr>
              <w:t xml:space="preserve"> industry risk fund. Construction is now expected to start </w:t>
            </w:r>
            <w:r w:rsidR="00911C0A">
              <w:rPr>
                <w:rFonts w:ascii="Calibri" w:hAnsi="Calibri" w:cs="Times New Roman"/>
              </w:rPr>
              <w:lastRenderedPageBreak/>
              <w:t xml:space="preserve">in May 2019 with a </w:t>
            </w:r>
            <w:proofErr w:type="gramStart"/>
            <w:r w:rsidR="00911C0A">
              <w:rPr>
                <w:rFonts w:ascii="Calibri" w:hAnsi="Calibri" w:cs="Times New Roman"/>
              </w:rPr>
              <w:t>15 month</w:t>
            </w:r>
            <w:proofErr w:type="gramEnd"/>
            <w:r w:rsidR="00911C0A">
              <w:rPr>
                <w:rFonts w:ascii="Calibri" w:hAnsi="Calibri" w:cs="Times New Roman"/>
              </w:rPr>
              <w:t xml:space="preserve"> construction period. Underspend o</w:t>
            </w:r>
            <w:r w:rsidR="006A236C">
              <w:rPr>
                <w:rFonts w:ascii="Calibri" w:hAnsi="Calibri" w:cs="Times New Roman"/>
              </w:rPr>
              <w:t>f around £844</w:t>
            </w:r>
            <w:r w:rsidR="00911C0A">
              <w:rPr>
                <w:rFonts w:ascii="Calibri" w:hAnsi="Calibri" w:cs="Times New Roman"/>
              </w:rPr>
              <w:t>k has been identified from four GD funded transport projects in Devon</w:t>
            </w:r>
            <w:r w:rsidR="00252964">
              <w:rPr>
                <w:rFonts w:ascii="Calibri" w:hAnsi="Calibri" w:cs="Times New Roman"/>
              </w:rPr>
              <w:t>,</w:t>
            </w:r>
            <w:r w:rsidR="00911C0A">
              <w:rPr>
                <w:rFonts w:ascii="Calibri" w:hAnsi="Calibri" w:cs="Times New Roman"/>
              </w:rPr>
              <w:t xml:space="preserve"> which the project is requesting to be released for reallocation to Marsh Barton. In addi</w:t>
            </w:r>
            <w:r w:rsidR="006A236C">
              <w:rPr>
                <w:rFonts w:ascii="Calibri" w:hAnsi="Calibri" w:cs="Times New Roman"/>
              </w:rPr>
              <w:t>tion, DCC will be increasing its own funding allocation to the scheme</w:t>
            </w:r>
            <w:r w:rsidR="00911C0A">
              <w:rPr>
                <w:rFonts w:ascii="Calibri" w:hAnsi="Calibri" w:cs="Times New Roman"/>
              </w:rPr>
              <w:t xml:space="preserve">. </w:t>
            </w:r>
          </w:p>
          <w:p w14:paraId="550E2A90" w14:textId="77777777" w:rsidR="006A236C" w:rsidRDefault="006A236C" w:rsidP="00911C0A">
            <w:pPr>
              <w:rPr>
                <w:rFonts w:ascii="Calibri" w:hAnsi="Calibri" w:cs="Times New Roman"/>
              </w:rPr>
            </w:pPr>
          </w:p>
          <w:p w14:paraId="4799DFC7" w14:textId="50B813A5" w:rsidR="006A236C" w:rsidRPr="006A236C" w:rsidRDefault="006A236C" w:rsidP="006A236C">
            <w:pPr>
              <w:rPr>
                <w:rFonts w:ascii="Calibri" w:hAnsi="Calibri" w:cs="Times New Roman"/>
              </w:rPr>
            </w:pPr>
            <w:r w:rsidRPr="006A236C">
              <w:rPr>
                <w:rFonts w:ascii="Calibri" w:hAnsi="Calibri" w:cs="Times New Roman"/>
              </w:rPr>
              <w:t xml:space="preserve">A discussion followed. SIP members </w:t>
            </w:r>
            <w:r w:rsidR="00911C0A" w:rsidRPr="006A236C">
              <w:rPr>
                <w:rFonts w:ascii="Calibri" w:hAnsi="Calibri" w:cs="Times New Roman"/>
              </w:rPr>
              <w:t>raised concerns around underspend being reallocated to Marsh Barton, given that current policy specified any underspend was to be reallocated to Unlocking Growth Fund. There was also concern about how such a decision would be viewed</w:t>
            </w:r>
            <w:r w:rsidR="00252964" w:rsidRPr="006A236C">
              <w:rPr>
                <w:rFonts w:ascii="Calibri" w:hAnsi="Calibri" w:cs="Times New Roman"/>
              </w:rPr>
              <w:t>,</w:t>
            </w:r>
            <w:r w:rsidR="00911C0A" w:rsidRPr="006A236C">
              <w:rPr>
                <w:rFonts w:ascii="Calibri" w:hAnsi="Calibri" w:cs="Times New Roman"/>
              </w:rPr>
              <w:t xml:space="preserve"> given previous decisions regarding</w:t>
            </w:r>
            <w:r>
              <w:rPr>
                <w:rFonts w:ascii="Calibri" w:hAnsi="Calibri" w:cs="Times New Roman"/>
              </w:rPr>
              <w:t xml:space="preserve"> </w:t>
            </w:r>
            <w:proofErr w:type="spellStart"/>
            <w:r>
              <w:rPr>
                <w:rFonts w:ascii="Calibri" w:hAnsi="Calibri" w:cs="Times New Roman"/>
              </w:rPr>
              <w:t>Ed</w:t>
            </w:r>
            <w:r w:rsidR="00911C0A" w:rsidRPr="006A236C">
              <w:rPr>
                <w:rFonts w:ascii="Calibri" w:hAnsi="Calibri" w:cs="Times New Roman"/>
              </w:rPr>
              <w:t>g</w:t>
            </w:r>
            <w:r>
              <w:rPr>
                <w:rFonts w:ascii="Calibri" w:hAnsi="Calibri" w:cs="Times New Roman"/>
              </w:rPr>
              <w:t>i</w:t>
            </w:r>
            <w:r w:rsidR="00911C0A" w:rsidRPr="006A236C">
              <w:rPr>
                <w:rFonts w:ascii="Calibri" w:hAnsi="Calibri" w:cs="Times New Roman"/>
              </w:rPr>
              <w:t>nswell</w:t>
            </w:r>
            <w:proofErr w:type="spellEnd"/>
            <w:r w:rsidR="00911C0A" w:rsidRPr="006A236C">
              <w:rPr>
                <w:rFonts w:ascii="Calibri" w:hAnsi="Calibri" w:cs="Times New Roman"/>
              </w:rPr>
              <w:t xml:space="preserve"> Station</w:t>
            </w:r>
            <w:r w:rsidR="00B855F9">
              <w:rPr>
                <w:rFonts w:ascii="Calibri" w:hAnsi="Calibri" w:cs="Times New Roman"/>
              </w:rPr>
              <w:t xml:space="preserve">, though recognition that the two projects were at different stages, i.e. Marsh Barton is contracted whilst </w:t>
            </w:r>
            <w:proofErr w:type="spellStart"/>
            <w:r w:rsidR="00B855F9">
              <w:rPr>
                <w:rFonts w:ascii="Calibri" w:hAnsi="Calibri" w:cs="Times New Roman"/>
              </w:rPr>
              <w:t>Edginswell</w:t>
            </w:r>
            <w:proofErr w:type="spellEnd"/>
            <w:r w:rsidR="00B855F9">
              <w:rPr>
                <w:rFonts w:ascii="Calibri" w:hAnsi="Calibri" w:cs="Times New Roman"/>
              </w:rPr>
              <w:t xml:space="preserve"> did not reach that stage. It was also noted that funds had previously been moved from Torbay Gateway to Torbay Western Corridor, though this did not set a precedent</w:t>
            </w:r>
            <w:r w:rsidR="00911C0A" w:rsidRPr="006A236C">
              <w:rPr>
                <w:rFonts w:ascii="Calibri" w:hAnsi="Calibri" w:cs="Times New Roman"/>
              </w:rPr>
              <w:t xml:space="preserve">. </w:t>
            </w:r>
          </w:p>
          <w:p w14:paraId="16C8E700" w14:textId="77777777" w:rsidR="006A236C" w:rsidRDefault="006A236C" w:rsidP="006A236C">
            <w:pPr>
              <w:rPr>
                <w:rFonts w:ascii="Calibri" w:hAnsi="Calibri" w:cs="Times New Roman"/>
                <w:b/>
                <w:u w:val="single"/>
              </w:rPr>
            </w:pPr>
          </w:p>
          <w:p w14:paraId="2BD481B6" w14:textId="161A3DE6" w:rsidR="00911C0A" w:rsidRPr="00113EAA" w:rsidRDefault="006A236C" w:rsidP="006A236C">
            <w:pPr>
              <w:rPr>
                <w:rFonts w:ascii="Calibri" w:hAnsi="Calibri" w:cs="Times New Roman"/>
                <w:b/>
                <w:u w:val="single"/>
              </w:rPr>
            </w:pPr>
            <w:r>
              <w:rPr>
                <w:rFonts w:ascii="Calibri" w:hAnsi="Calibri" w:cs="Times New Roman"/>
                <w:b/>
                <w:u w:val="single"/>
              </w:rPr>
              <w:t xml:space="preserve">Decision: </w:t>
            </w:r>
            <w:r w:rsidR="00911C0A" w:rsidRPr="00113EAA">
              <w:rPr>
                <w:rFonts w:ascii="Calibri" w:hAnsi="Calibri" w:cs="Times New Roman"/>
                <w:b/>
                <w:u w:val="single"/>
              </w:rPr>
              <w:t>It was agreed that there</w:t>
            </w:r>
            <w:r w:rsidR="00B855F9">
              <w:rPr>
                <w:rFonts w:ascii="Calibri" w:hAnsi="Calibri" w:cs="Times New Roman"/>
                <w:b/>
                <w:u w:val="single"/>
              </w:rPr>
              <w:t xml:space="preserve"> may be occasions when the policy of allocating GD underspend to Unlocking Growth Fund projects should be varied and a change to the policy around underspends to accommodate exceptions where this may be appropriate to be recommended to the LEP Board.</w:t>
            </w:r>
          </w:p>
        </w:tc>
        <w:tc>
          <w:tcPr>
            <w:tcW w:w="1602" w:type="dxa"/>
            <w:tcBorders>
              <w:bottom w:val="nil"/>
            </w:tcBorders>
            <w:shd w:val="clear" w:color="auto" w:fill="FFFFFF" w:themeFill="background1"/>
          </w:tcPr>
          <w:p w14:paraId="066EBD58" w14:textId="77777777" w:rsidR="00911C0A" w:rsidRDefault="00911C0A" w:rsidP="00911C0A">
            <w:pPr>
              <w:rPr>
                <w:rFonts w:ascii="Calibri" w:hAnsi="Calibri" w:cs="Arial"/>
              </w:rPr>
            </w:pPr>
          </w:p>
          <w:p w14:paraId="01399447" w14:textId="77777777" w:rsidR="00911C0A" w:rsidRDefault="00911C0A" w:rsidP="00911C0A">
            <w:pPr>
              <w:rPr>
                <w:rFonts w:ascii="Calibri" w:hAnsi="Calibri" w:cs="Arial"/>
              </w:rPr>
            </w:pPr>
          </w:p>
          <w:p w14:paraId="2702E732" w14:textId="77777777" w:rsidR="00911C0A" w:rsidRDefault="00911C0A" w:rsidP="00911C0A">
            <w:pPr>
              <w:rPr>
                <w:rFonts w:ascii="Calibri" w:hAnsi="Calibri" w:cs="Arial"/>
              </w:rPr>
            </w:pPr>
          </w:p>
          <w:p w14:paraId="7F28F9FB" w14:textId="77777777" w:rsidR="00911C0A" w:rsidRDefault="00911C0A" w:rsidP="00911C0A">
            <w:pPr>
              <w:rPr>
                <w:rFonts w:ascii="Calibri" w:hAnsi="Calibri" w:cs="Arial"/>
              </w:rPr>
            </w:pPr>
          </w:p>
          <w:p w14:paraId="4673A08C" w14:textId="77777777" w:rsidR="00911C0A" w:rsidRDefault="00911C0A" w:rsidP="00911C0A">
            <w:pPr>
              <w:rPr>
                <w:rFonts w:ascii="Calibri" w:hAnsi="Calibri" w:cs="Arial"/>
              </w:rPr>
            </w:pPr>
          </w:p>
          <w:p w14:paraId="54B8CAAA" w14:textId="77777777" w:rsidR="00911C0A" w:rsidRDefault="00911C0A" w:rsidP="00911C0A">
            <w:pPr>
              <w:rPr>
                <w:rFonts w:ascii="Calibri" w:hAnsi="Calibri" w:cs="Arial"/>
              </w:rPr>
            </w:pPr>
          </w:p>
          <w:p w14:paraId="3E374B7D" w14:textId="77777777" w:rsidR="00911C0A" w:rsidRDefault="00911C0A" w:rsidP="00911C0A">
            <w:pPr>
              <w:rPr>
                <w:rFonts w:ascii="Calibri" w:hAnsi="Calibri" w:cs="Arial"/>
              </w:rPr>
            </w:pPr>
          </w:p>
          <w:p w14:paraId="51BE8C05" w14:textId="77777777" w:rsidR="00911C0A" w:rsidRDefault="00911C0A" w:rsidP="00911C0A">
            <w:pPr>
              <w:rPr>
                <w:rFonts w:ascii="Calibri" w:hAnsi="Calibri" w:cs="Arial"/>
              </w:rPr>
            </w:pPr>
          </w:p>
          <w:p w14:paraId="29282602" w14:textId="77777777" w:rsidR="00911C0A" w:rsidRDefault="00911C0A" w:rsidP="00911C0A">
            <w:pPr>
              <w:rPr>
                <w:rFonts w:ascii="Calibri" w:hAnsi="Calibri" w:cs="Arial"/>
              </w:rPr>
            </w:pPr>
          </w:p>
          <w:p w14:paraId="1690B1CE" w14:textId="77777777" w:rsidR="00911C0A" w:rsidRDefault="00911C0A" w:rsidP="00911C0A">
            <w:pPr>
              <w:rPr>
                <w:rFonts w:ascii="Calibri" w:hAnsi="Calibri" w:cs="Arial"/>
              </w:rPr>
            </w:pPr>
          </w:p>
          <w:p w14:paraId="6B9E4BB2" w14:textId="77777777" w:rsidR="00911C0A" w:rsidRDefault="00911C0A" w:rsidP="00911C0A">
            <w:pPr>
              <w:rPr>
                <w:rFonts w:ascii="Calibri" w:hAnsi="Calibri" w:cs="Arial"/>
              </w:rPr>
            </w:pPr>
          </w:p>
          <w:p w14:paraId="68767205" w14:textId="77777777" w:rsidR="00911C0A" w:rsidRDefault="00911C0A" w:rsidP="00911C0A">
            <w:pPr>
              <w:rPr>
                <w:rFonts w:ascii="Calibri" w:hAnsi="Calibri" w:cs="Arial"/>
              </w:rPr>
            </w:pPr>
          </w:p>
          <w:p w14:paraId="22DEC7B0" w14:textId="77777777" w:rsidR="00911C0A" w:rsidRDefault="00911C0A" w:rsidP="00911C0A">
            <w:pPr>
              <w:rPr>
                <w:rFonts w:ascii="Calibri" w:hAnsi="Calibri" w:cs="Arial"/>
              </w:rPr>
            </w:pPr>
          </w:p>
          <w:p w14:paraId="0BAB58BF" w14:textId="77777777" w:rsidR="00911C0A" w:rsidRDefault="00911C0A" w:rsidP="00911C0A">
            <w:pPr>
              <w:rPr>
                <w:rFonts w:ascii="Calibri" w:hAnsi="Calibri" w:cs="Arial"/>
              </w:rPr>
            </w:pPr>
          </w:p>
          <w:p w14:paraId="1280DD90" w14:textId="6F4832E9" w:rsidR="00911C0A" w:rsidRPr="002D57B3" w:rsidRDefault="00911C0A" w:rsidP="00911C0A">
            <w:pPr>
              <w:rPr>
                <w:rFonts w:ascii="Calibri" w:hAnsi="Calibri" w:cs="Arial"/>
                <w:b/>
              </w:rPr>
            </w:pPr>
          </w:p>
        </w:tc>
      </w:tr>
      <w:tr w:rsidR="00911C0A" w:rsidRPr="004B2A56" w14:paraId="72E03B8F" w14:textId="77777777" w:rsidTr="00FC7546">
        <w:trPr>
          <w:gridAfter w:val="1"/>
          <w:wAfter w:w="18" w:type="dxa"/>
        </w:trPr>
        <w:tc>
          <w:tcPr>
            <w:tcW w:w="7434" w:type="dxa"/>
            <w:gridSpan w:val="3"/>
            <w:tcBorders>
              <w:top w:val="nil"/>
            </w:tcBorders>
            <w:shd w:val="clear" w:color="auto" w:fill="FFFFFF" w:themeFill="background1"/>
          </w:tcPr>
          <w:p w14:paraId="27A80457" w14:textId="1E62966F" w:rsidR="00911C0A" w:rsidRDefault="00911C0A" w:rsidP="00911C0A">
            <w:pPr>
              <w:rPr>
                <w:rFonts w:ascii="Calibri" w:hAnsi="Calibri" w:cs="Times New Roman"/>
              </w:rPr>
            </w:pPr>
            <w:r w:rsidRPr="002D57B3">
              <w:rPr>
                <w:rFonts w:ascii="Calibri" w:hAnsi="Calibri" w:cs="Times New Roman"/>
                <w:b/>
                <w:u w:val="single"/>
              </w:rPr>
              <w:lastRenderedPageBreak/>
              <w:t>Action:</w:t>
            </w:r>
            <w:r w:rsidR="006A236C">
              <w:rPr>
                <w:rFonts w:ascii="Calibri" w:hAnsi="Calibri" w:cs="Times New Roman"/>
              </w:rPr>
              <w:t xml:space="preserve"> Produce report for LEP Board meeting, </w:t>
            </w:r>
            <w:r w:rsidRPr="002D57B3">
              <w:rPr>
                <w:rFonts w:ascii="Calibri" w:hAnsi="Calibri" w:cs="Times New Roman"/>
              </w:rPr>
              <w:t xml:space="preserve">to clearly outline the case for </w:t>
            </w:r>
            <w:r w:rsidR="00B855F9">
              <w:rPr>
                <w:rFonts w:ascii="Calibri" w:hAnsi="Calibri" w:cs="Times New Roman"/>
              </w:rPr>
              <w:t xml:space="preserve">amending the GD policy around underspends, to recommend that an exception be made in this case for </w:t>
            </w:r>
            <w:r w:rsidRPr="002D57B3">
              <w:rPr>
                <w:rFonts w:ascii="Calibri" w:hAnsi="Calibri" w:cs="Times New Roman"/>
              </w:rPr>
              <w:t xml:space="preserve">reallocation to Marsh Barton, </w:t>
            </w:r>
            <w:r w:rsidR="00B855F9">
              <w:rPr>
                <w:rFonts w:ascii="Calibri" w:hAnsi="Calibri" w:cs="Times New Roman"/>
              </w:rPr>
              <w:t xml:space="preserve">and </w:t>
            </w:r>
            <w:r w:rsidRPr="002D57B3">
              <w:rPr>
                <w:rFonts w:ascii="Calibri" w:hAnsi="Calibri" w:cs="Times New Roman"/>
              </w:rPr>
              <w:t xml:space="preserve">mentioning that </w:t>
            </w:r>
            <w:r w:rsidR="00B855F9">
              <w:rPr>
                <w:rFonts w:ascii="Calibri" w:hAnsi="Calibri" w:cs="Times New Roman"/>
              </w:rPr>
              <w:t xml:space="preserve">the size of any reallocation may </w:t>
            </w:r>
            <w:proofErr w:type="gramStart"/>
            <w:r w:rsidR="00B855F9">
              <w:rPr>
                <w:rFonts w:ascii="Calibri" w:hAnsi="Calibri" w:cs="Times New Roman"/>
              </w:rPr>
              <w:t xml:space="preserve">vary </w:t>
            </w:r>
            <w:r w:rsidRPr="002D57B3">
              <w:rPr>
                <w:rFonts w:ascii="Calibri" w:hAnsi="Calibri" w:cs="Times New Roman"/>
              </w:rPr>
              <w:t xml:space="preserve"> if</w:t>
            </w:r>
            <w:proofErr w:type="gramEnd"/>
            <w:r w:rsidRPr="002D57B3">
              <w:rPr>
                <w:rFonts w:ascii="Calibri" w:hAnsi="Calibri" w:cs="Times New Roman"/>
              </w:rPr>
              <w:t xml:space="preserve"> the bid to the industry risk fund delivers a greater allocation than expected.</w:t>
            </w:r>
          </w:p>
        </w:tc>
        <w:tc>
          <w:tcPr>
            <w:tcW w:w="1602" w:type="dxa"/>
            <w:tcBorders>
              <w:top w:val="nil"/>
            </w:tcBorders>
            <w:shd w:val="clear" w:color="auto" w:fill="FFFFFF" w:themeFill="background1"/>
            <w:vAlign w:val="center"/>
          </w:tcPr>
          <w:p w14:paraId="73BB48AE" w14:textId="72E19232" w:rsidR="00911C0A" w:rsidRPr="002D57B3" w:rsidRDefault="00911C0A" w:rsidP="006A236C">
            <w:pPr>
              <w:rPr>
                <w:rFonts w:ascii="Calibri" w:hAnsi="Calibri" w:cs="Arial"/>
                <w:b/>
              </w:rPr>
            </w:pPr>
            <w:r w:rsidRPr="002D57B3">
              <w:rPr>
                <w:rFonts w:ascii="Calibri" w:hAnsi="Calibri" w:cs="Arial"/>
                <w:b/>
              </w:rPr>
              <w:t>IH</w:t>
            </w:r>
          </w:p>
        </w:tc>
      </w:tr>
      <w:tr w:rsidR="00911C0A" w:rsidRPr="004B2A56" w14:paraId="137D8B0E" w14:textId="77777777" w:rsidTr="008B29F5">
        <w:trPr>
          <w:gridAfter w:val="1"/>
          <w:wAfter w:w="18" w:type="dxa"/>
        </w:trPr>
        <w:tc>
          <w:tcPr>
            <w:tcW w:w="1128" w:type="dxa"/>
            <w:shd w:val="clear" w:color="auto" w:fill="E5B8B7" w:themeFill="accent2" w:themeFillTint="66"/>
          </w:tcPr>
          <w:p w14:paraId="3466A252" w14:textId="3E0EC339" w:rsidR="00911C0A" w:rsidRDefault="00911C0A" w:rsidP="00911C0A">
            <w:pPr>
              <w:rPr>
                <w:rFonts w:ascii="Calibri" w:hAnsi="Calibri" w:cs="Times New Roman"/>
                <w:b/>
              </w:rPr>
            </w:pPr>
            <w:r>
              <w:rPr>
                <w:rFonts w:ascii="Calibri" w:hAnsi="Calibri" w:cs="Times New Roman"/>
                <w:b/>
              </w:rPr>
              <w:t>5.4</w:t>
            </w:r>
          </w:p>
        </w:tc>
        <w:tc>
          <w:tcPr>
            <w:tcW w:w="7908" w:type="dxa"/>
            <w:gridSpan w:val="3"/>
            <w:shd w:val="clear" w:color="auto" w:fill="E5B8B7" w:themeFill="accent2" w:themeFillTint="66"/>
          </w:tcPr>
          <w:p w14:paraId="725DCC8F" w14:textId="4FAF69DA" w:rsidR="00911C0A" w:rsidRPr="00861211" w:rsidRDefault="00911C0A" w:rsidP="00911C0A">
            <w:pPr>
              <w:rPr>
                <w:rFonts w:ascii="Calibri" w:hAnsi="Calibri" w:cs="Arial"/>
                <w:b/>
              </w:rPr>
            </w:pPr>
            <w:r w:rsidRPr="00861211">
              <w:rPr>
                <w:rFonts w:ascii="Calibri" w:hAnsi="Calibri" w:cs="Arial"/>
                <w:b/>
              </w:rPr>
              <w:t>Growth Hub Update</w:t>
            </w:r>
          </w:p>
        </w:tc>
      </w:tr>
      <w:tr w:rsidR="00911C0A" w:rsidRPr="004B2A56" w14:paraId="5BBDD575" w14:textId="0E298DF8" w:rsidTr="00017D16">
        <w:trPr>
          <w:gridAfter w:val="1"/>
          <w:wAfter w:w="18" w:type="dxa"/>
        </w:trPr>
        <w:tc>
          <w:tcPr>
            <w:tcW w:w="7398" w:type="dxa"/>
            <w:gridSpan w:val="2"/>
            <w:tcBorders>
              <w:bottom w:val="nil"/>
            </w:tcBorders>
            <w:shd w:val="clear" w:color="auto" w:fill="FFFFFF" w:themeFill="background1"/>
          </w:tcPr>
          <w:p w14:paraId="55B81014" w14:textId="63871E82" w:rsidR="00911C0A" w:rsidRDefault="00017D16" w:rsidP="00911C0A">
            <w:pPr>
              <w:rPr>
                <w:rFonts w:ascii="Calibri" w:hAnsi="Calibri" w:cs="Times New Roman"/>
              </w:rPr>
            </w:pPr>
            <w:r w:rsidRPr="00017D16">
              <w:rPr>
                <w:rFonts w:ascii="Calibri" w:hAnsi="Calibri" w:cs="Times New Roman"/>
              </w:rPr>
              <w:t xml:space="preserve">CG </w:t>
            </w:r>
            <w:r>
              <w:rPr>
                <w:rFonts w:ascii="Calibri" w:hAnsi="Calibri" w:cs="Times New Roman"/>
              </w:rPr>
              <w:t>outlined the position regarding the</w:t>
            </w:r>
            <w:r w:rsidR="000A4D65">
              <w:rPr>
                <w:rFonts w:ascii="Calibri" w:hAnsi="Calibri" w:cs="Times New Roman"/>
              </w:rPr>
              <w:t xml:space="preserve"> current</w:t>
            </w:r>
            <w:r>
              <w:rPr>
                <w:rFonts w:ascii="Calibri" w:hAnsi="Calibri" w:cs="Times New Roman"/>
              </w:rPr>
              <w:t xml:space="preserve"> Growth Hub contract</w:t>
            </w:r>
            <w:r w:rsidR="00C8346E">
              <w:rPr>
                <w:rFonts w:ascii="Calibri" w:hAnsi="Calibri" w:cs="Times New Roman"/>
              </w:rPr>
              <w:t xml:space="preserve"> and changes to G</w:t>
            </w:r>
            <w:r w:rsidR="000A4D65">
              <w:rPr>
                <w:rFonts w:ascii="Calibri" w:hAnsi="Calibri" w:cs="Times New Roman"/>
              </w:rPr>
              <w:t xml:space="preserve">overnment’s KPIs. </w:t>
            </w:r>
            <w:r w:rsidR="00C8346E">
              <w:rPr>
                <w:rFonts w:ascii="Calibri" w:hAnsi="Calibri" w:cs="Times New Roman"/>
              </w:rPr>
              <w:t>T</w:t>
            </w:r>
            <w:r>
              <w:rPr>
                <w:rFonts w:ascii="Calibri" w:hAnsi="Calibri" w:cs="Times New Roman"/>
              </w:rPr>
              <w:t>here was broad agreement tha</w:t>
            </w:r>
            <w:r w:rsidR="00C8346E">
              <w:rPr>
                <w:rFonts w:ascii="Calibri" w:hAnsi="Calibri" w:cs="Times New Roman"/>
              </w:rPr>
              <w:t>t the Growth Hub should continue and that the n</w:t>
            </w:r>
            <w:r>
              <w:rPr>
                <w:rFonts w:ascii="Calibri" w:hAnsi="Calibri" w:cs="Times New Roman"/>
              </w:rPr>
              <w:t xml:space="preserve">ew requirements from Central Government offer an opportunity to review progress to date and improve the Growth Hub service delivery going forward. However, the LEP requires more information from Government to develop the tender documentation and ensure any new contract can deliver on the new requirements. </w:t>
            </w:r>
          </w:p>
          <w:p w14:paraId="4FAB5A06" w14:textId="4A821187" w:rsidR="00017D16" w:rsidRDefault="00017D16" w:rsidP="00911C0A">
            <w:pPr>
              <w:rPr>
                <w:rFonts w:ascii="Calibri" w:hAnsi="Calibri" w:cs="Times New Roman"/>
              </w:rPr>
            </w:pPr>
          </w:p>
          <w:p w14:paraId="51483FA1" w14:textId="17F45224" w:rsidR="00017D16" w:rsidRPr="00017D16" w:rsidRDefault="00017D16" w:rsidP="00017D16">
            <w:pPr>
              <w:rPr>
                <w:rFonts w:ascii="Calibri" w:hAnsi="Calibri" w:cs="Times New Roman"/>
              </w:rPr>
            </w:pPr>
            <w:r w:rsidRPr="000A4D65">
              <w:rPr>
                <w:rFonts w:ascii="Calibri" w:hAnsi="Calibri" w:cs="Times New Roman"/>
              </w:rPr>
              <w:t xml:space="preserve">SIP agreed that it would be useful to have a summary of past progress and a review of the pros and cons of the current </w:t>
            </w:r>
            <w:r w:rsidR="006A236C">
              <w:rPr>
                <w:rFonts w:ascii="Calibri" w:hAnsi="Calibri" w:cs="Times New Roman"/>
              </w:rPr>
              <w:t xml:space="preserve">delivery </w:t>
            </w:r>
            <w:r w:rsidRPr="000A4D65">
              <w:rPr>
                <w:rFonts w:ascii="Calibri" w:hAnsi="Calibri" w:cs="Times New Roman"/>
              </w:rPr>
              <w:t xml:space="preserve">contract by next SIP. SIP also agreed that it would be useful to provide background as to what </w:t>
            </w:r>
            <w:r w:rsidR="00725153">
              <w:rPr>
                <w:rFonts w:ascii="Calibri" w:hAnsi="Calibri" w:cs="Times New Roman"/>
              </w:rPr>
              <w:t xml:space="preserve">a </w:t>
            </w:r>
            <w:r w:rsidRPr="000A4D65">
              <w:rPr>
                <w:rFonts w:ascii="Calibri" w:hAnsi="Calibri" w:cs="Times New Roman"/>
              </w:rPr>
              <w:t xml:space="preserve">Growth Hub </w:t>
            </w:r>
            <w:r w:rsidR="006A236C">
              <w:rPr>
                <w:rFonts w:ascii="Calibri" w:hAnsi="Calibri" w:cs="Times New Roman"/>
              </w:rPr>
              <w:t>is, and how it differs from its</w:t>
            </w:r>
            <w:r w:rsidRPr="000A4D65">
              <w:rPr>
                <w:rFonts w:ascii="Calibri" w:hAnsi="Calibri" w:cs="Times New Roman"/>
              </w:rPr>
              <w:t xml:space="preserve"> past incarnations. </w:t>
            </w:r>
            <w:r w:rsidR="0060330B">
              <w:rPr>
                <w:rFonts w:ascii="Calibri" w:hAnsi="Calibri" w:cs="Times New Roman"/>
              </w:rPr>
              <w:t>A paper would be presented to the LEP board.</w:t>
            </w:r>
          </w:p>
        </w:tc>
        <w:tc>
          <w:tcPr>
            <w:tcW w:w="1638" w:type="dxa"/>
            <w:gridSpan w:val="2"/>
            <w:tcBorders>
              <w:bottom w:val="nil"/>
            </w:tcBorders>
            <w:shd w:val="clear" w:color="auto" w:fill="FFFFFF" w:themeFill="background1"/>
          </w:tcPr>
          <w:p w14:paraId="6B3828ED" w14:textId="77777777" w:rsidR="00911C0A" w:rsidRPr="004746BD" w:rsidRDefault="00911C0A" w:rsidP="00911C0A">
            <w:pPr>
              <w:rPr>
                <w:rFonts w:ascii="Calibri" w:hAnsi="Calibri" w:cs="Times New Roman"/>
                <w:b/>
              </w:rPr>
            </w:pPr>
          </w:p>
        </w:tc>
      </w:tr>
      <w:tr w:rsidR="00017D16" w:rsidRPr="004B2A56" w14:paraId="36BB2D85" w14:textId="77777777" w:rsidTr="00057C88">
        <w:trPr>
          <w:gridAfter w:val="1"/>
          <w:wAfter w:w="18" w:type="dxa"/>
        </w:trPr>
        <w:tc>
          <w:tcPr>
            <w:tcW w:w="7398" w:type="dxa"/>
            <w:gridSpan w:val="2"/>
            <w:tcBorders>
              <w:top w:val="nil"/>
            </w:tcBorders>
            <w:shd w:val="clear" w:color="auto" w:fill="FFFFFF" w:themeFill="background1"/>
          </w:tcPr>
          <w:p w14:paraId="28854C43" w14:textId="77777777" w:rsidR="00017D16" w:rsidRDefault="00017D16" w:rsidP="00911C0A">
            <w:pPr>
              <w:rPr>
                <w:rFonts w:ascii="Calibri" w:hAnsi="Calibri" w:cs="Times New Roman"/>
              </w:rPr>
            </w:pPr>
            <w:r w:rsidRPr="00017D16">
              <w:rPr>
                <w:rFonts w:ascii="Calibri" w:hAnsi="Calibri" w:cs="Times New Roman"/>
                <w:b/>
                <w:u w:val="single"/>
              </w:rPr>
              <w:t>Action:</w:t>
            </w:r>
            <w:r>
              <w:rPr>
                <w:rFonts w:ascii="Calibri" w:hAnsi="Calibri" w:cs="Times New Roman"/>
              </w:rPr>
              <w:t xml:space="preserve"> </w:t>
            </w:r>
            <w:r w:rsidR="00057C88">
              <w:rPr>
                <w:rFonts w:ascii="Calibri" w:hAnsi="Calibri" w:cs="Times New Roman"/>
              </w:rPr>
              <w:t xml:space="preserve">Produce an </w:t>
            </w:r>
            <w:r w:rsidRPr="00017D16">
              <w:rPr>
                <w:rFonts w:ascii="Calibri" w:hAnsi="Calibri" w:cs="Times New Roman"/>
              </w:rPr>
              <w:t>update on progress</w:t>
            </w:r>
            <w:r w:rsidR="00057C88">
              <w:t xml:space="preserve"> </w:t>
            </w:r>
            <w:r w:rsidR="00057C88" w:rsidRPr="00057C88">
              <w:rPr>
                <w:rFonts w:ascii="Calibri" w:hAnsi="Calibri" w:cs="Times New Roman"/>
              </w:rPr>
              <w:t>and a summary of options going forward</w:t>
            </w:r>
            <w:r w:rsidRPr="00017D16">
              <w:rPr>
                <w:rFonts w:ascii="Calibri" w:hAnsi="Calibri" w:cs="Times New Roman"/>
              </w:rPr>
              <w:t xml:space="preserve"> </w:t>
            </w:r>
            <w:r w:rsidR="00057C88">
              <w:rPr>
                <w:rFonts w:ascii="Calibri" w:hAnsi="Calibri" w:cs="Times New Roman"/>
              </w:rPr>
              <w:t xml:space="preserve">for the </w:t>
            </w:r>
            <w:r w:rsidRPr="00017D16">
              <w:rPr>
                <w:rFonts w:ascii="Calibri" w:hAnsi="Calibri" w:cs="Times New Roman"/>
              </w:rPr>
              <w:t>next SIP meeting.</w:t>
            </w:r>
          </w:p>
          <w:p w14:paraId="5EEA0FEE" w14:textId="27F2CBE8" w:rsidR="00252964" w:rsidRPr="00017D16" w:rsidRDefault="00252964" w:rsidP="00911C0A">
            <w:pPr>
              <w:rPr>
                <w:rFonts w:ascii="Calibri" w:hAnsi="Calibri" w:cs="Times New Roman"/>
              </w:rPr>
            </w:pPr>
          </w:p>
        </w:tc>
        <w:tc>
          <w:tcPr>
            <w:tcW w:w="1638" w:type="dxa"/>
            <w:gridSpan w:val="2"/>
            <w:tcBorders>
              <w:top w:val="nil"/>
            </w:tcBorders>
            <w:shd w:val="clear" w:color="auto" w:fill="FFFFFF" w:themeFill="background1"/>
            <w:vAlign w:val="center"/>
          </w:tcPr>
          <w:p w14:paraId="54720F20" w14:textId="5A319D8B" w:rsidR="00017D16" w:rsidRPr="004746BD" w:rsidRDefault="00057C88" w:rsidP="006A236C">
            <w:pPr>
              <w:rPr>
                <w:rFonts w:ascii="Calibri" w:hAnsi="Calibri" w:cs="Times New Roman"/>
                <w:b/>
              </w:rPr>
            </w:pPr>
            <w:r>
              <w:rPr>
                <w:rFonts w:ascii="Calibri" w:hAnsi="Calibri" w:cs="Times New Roman"/>
                <w:b/>
              </w:rPr>
              <w:t>CG</w:t>
            </w:r>
            <w:r w:rsidR="006A236C">
              <w:rPr>
                <w:rFonts w:ascii="Calibri" w:hAnsi="Calibri" w:cs="Times New Roman"/>
                <w:b/>
              </w:rPr>
              <w:t>/AR</w:t>
            </w:r>
          </w:p>
        </w:tc>
      </w:tr>
      <w:tr w:rsidR="00911C0A" w:rsidRPr="004B2A56" w14:paraId="6EF3EDF1" w14:textId="77777777" w:rsidTr="008B29F5">
        <w:trPr>
          <w:gridAfter w:val="1"/>
          <w:wAfter w:w="18" w:type="dxa"/>
        </w:trPr>
        <w:tc>
          <w:tcPr>
            <w:tcW w:w="1128" w:type="dxa"/>
            <w:shd w:val="clear" w:color="auto" w:fill="E5B8B7" w:themeFill="accent2" w:themeFillTint="66"/>
          </w:tcPr>
          <w:p w14:paraId="5F7A4169" w14:textId="0AF3D810" w:rsidR="00911C0A" w:rsidRDefault="00911C0A" w:rsidP="00911C0A">
            <w:pPr>
              <w:rPr>
                <w:rFonts w:ascii="Calibri" w:hAnsi="Calibri" w:cs="Times New Roman"/>
                <w:b/>
              </w:rPr>
            </w:pPr>
            <w:r>
              <w:rPr>
                <w:rFonts w:ascii="Calibri" w:hAnsi="Calibri" w:cs="Times New Roman"/>
                <w:b/>
              </w:rPr>
              <w:t>5.5</w:t>
            </w:r>
          </w:p>
        </w:tc>
        <w:tc>
          <w:tcPr>
            <w:tcW w:w="7908" w:type="dxa"/>
            <w:gridSpan w:val="3"/>
            <w:shd w:val="clear" w:color="auto" w:fill="E5B8B7" w:themeFill="accent2" w:themeFillTint="66"/>
          </w:tcPr>
          <w:p w14:paraId="702C4F87" w14:textId="60F44BFA" w:rsidR="00911C0A" w:rsidRPr="004746BD" w:rsidRDefault="00911C0A" w:rsidP="00911C0A">
            <w:pPr>
              <w:rPr>
                <w:rFonts w:ascii="Calibri" w:hAnsi="Calibri" w:cs="Times New Roman"/>
                <w:b/>
              </w:rPr>
            </w:pPr>
            <w:r w:rsidRPr="004746BD">
              <w:rPr>
                <w:rFonts w:ascii="Calibri" w:hAnsi="Calibri" w:cs="Times New Roman"/>
                <w:b/>
              </w:rPr>
              <w:t>SCC Update</w:t>
            </w:r>
          </w:p>
        </w:tc>
      </w:tr>
      <w:tr w:rsidR="00911C0A" w:rsidRPr="004B2A56" w14:paraId="187AAD76" w14:textId="77777777" w:rsidTr="00A84C02">
        <w:trPr>
          <w:gridAfter w:val="1"/>
          <w:wAfter w:w="18" w:type="dxa"/>
        </w:trPr>
        <w:tc>
          <w:tcPr>
            <w:tcW w:w="7434" w:type="dxa"/>
            <w:gridSpan w:val="3"/>
            <w:tcBorders>
              <w:bottom w:val="thinThickThinLargeGap" w:sz="24" w:space="0" w:color="auto"/>
            </w:tcBorders>
            <w:shd w:val="clear" w:color="auto" w:fill="FFFFFF" w:themeFill="background1"/>
          </w:tcPr>
          <w:p w14:paraId="6BCDF8C9" w14:textId="24451D77" w:rsidR="00911C0A" w:rsidRPr="004B2A56" w:rsidRDefault="006A236C" w:rsidP="00911C0A">
            <w:pPr>
              <w:rPr>
                <w:rFonts w:ascii="Calibri" w:hAnsi="Calibri" w:cs="Times New Roman"/>
              </w:rPr>
            </w:pPr>
            <w:r>
              <w:rPr>
                <w:rFonts w:ascii="Calibri" w:hAnsi="Calibri" w:cs="Times New Roman"/>
              </w:rPr>
              <w:t>MR</w:t>
            </w:r>
            <w:r w:rsidR="00911C0A">
              <w:rPr>
                <w:rFonts w:ascii="Calibri" w:hAnsi="Calibri" w:cs="Times New Roman"/>
              </w:rPr>
              <w:t xml:space="preserve"> informed SIP that SCC had updated the LEP website with refreshed policies and was now reviewing general publishing process for the LEP website in future.</w:t>
            </w:r>
          </w:p>
        </w:tc>
        <w:tc>
          <w:tcPr>
            <w:tcW w:w="1602" w:type="dxa"/>
            <w:tcBorders>
              <w:bottom w:val="thinThickThinLargeGap" w:sz="24" w:space="0" w:color="auto"/>
            </w:tcBorders>
            <w:shd w:val="clear" w:color="auto" w:fill="FFFFFF" w:themeFill="background1"/>
            <w:vAlign w:val="center"/>
          </w:tcPr>
          <w:p w14:paraId="57CE17FA" w14:textId="3CCC1181" w:rsidR="00911C0A" w:rsidRPr="00113EAA" w:rsidRDefault="00911C0A" w:rsidP="00911C0A">
            <w:pPr>
              <w:jc w:val="center"/>
              <w:rPr>
                <w:rFonts w:ascii="Calibri" w:hAnsi="Calibri" w:cs="Arial"/>
                <w:b/>
              </w:rPr>
            </w:pPr>
            <w:r>
              <w:rPr>
                <w:rFonts w:ascii="Calibri" w:hAnsi="Calibri" w:cs="Arial"/>
                <w:b/>
              </w:rPr>
              <w:t>N/A</w:t>
            </w:r>
          </w:p>
        </w:tc>
      </w:tr>
      <w:tr w:rsidR="00911C0A" w:rsidRPr="004B2A56" w14:paraId="15370974" w14:textId="77777777" w:rsidTr="00E96166">
        <w:trPr>
          <w:gridAfter w:val="1"/>
          <w:wAfter w:w="18" w:type="dxa"/>
        </w:trPr>
        <w:tc>
          <w:tcPr>
            <w:tcW w:w="1128" w:type="dxa"/>
            <w:tcBorders>
              <w:top w:val="thinThickThinLargeGap" w:sz="24" w:space="0" w:color="auto"/>
            </w:tcBorders>
            <w:shd w:val="clear" w:color="auto" w:fill="95B3D7" w:themeFill="accent1" w:themeFillTint="99"/>
          </w:tcPr>
          <w:p w14:paraId="2B55EF82" w14:textId="1B7CE779" w:rsidR="00911C0A" w:rsidRPr="004B2A56" w:rsidRDefault="00911C0A" w:rsidP="00911C0A">
            <w:pPr>
              <w:rPr>
                <w:rFonts w:ascii="Calibri" w:hAnsi="Calibri" w:cs="Times New Roman"/>
                <w:b/>
              </w:rPr>
            </w:pPr>
            <w:r>
              <w:rPr>
                <w:rFonts w:ascii="Calibri" w:hAnsi="Calibri" w:cs="Times New Roman"/>
                <w:b/>
              </w:rPr>
              <w:t>6</w:t>
            </w:r>
          </w:p>
        </w:tc>
        <w:tc>
          <w:tcPr>
            <w:tcW w:w="7908" w:type="dxa"/>
            <w:gridSpan w:val="3"/>
            <w:tcBorders>
              <w:top w:val="thinThickThinLargeGap" w:sz="24" w:space="0" w:color="auto"/>
            </w:tcBorders>
            <w:shd w:val="clear" w:color="auto" w:fill="95B3D7" w:themeFill="accent1" w:themeFillTint="99"/>
          </w:tcPr>
          <w:p w14:paraId="09441DC7" w14:textId="3B55B9CF" w:rsidR="00911C0A" w:rsidRPr="004B2A56" w:rsidRDefault="00911C0A" w:rsidP="00911C0A">
            <w:pPr>
              <w:rPr>
                <w:rFonts w:ascii="Calibri" w:hAnsi="Calibri" w:cs="Arial"/>
              </w:rPr>
            </w:pPr>
            <w:r>
              <w:rPr>
                <w:rFonts w:ascii="Calibri" w:hAnsi="Calibri" w:cs="Arial"/>
                <w:b/>
              </w:rPr>
              <w:t>Strategic Agenda Items</w:t>
            </w:r>
          </w:p>
        </w:tc>
      </w:tr>
      <w:tr w:rsidR="00911C0A" w:rsidRPr="004B2A56" w14:paraId="30801EF3" w14:textId="77777777" w:rsidTr="008B29F5">
        <w:trPr>
          <w:gridAfter w:val="1"/>
          <w:wAfter w:w="18" w:type="dxa"/>
        </w:trPr>
        <w:tc>
          <w:tcPr>
            <w:tcW w:w="1128" w:type="dxa"/>
            <w:shd w:val="clear" w:color="auto" w:fill="E5B8B7" w:themeFill="accent2" w:themeFillTint="66"/>
          </w:tcPr>
          <w:p w14:paraId="661CF945" w14:textId="348B5032" w:rsidR="00911C0A" w:rsidRPr="003E342D" w:rsidRDefault="00911C0A" w:rsidP="00911C0A">
            <w:pPr>
              <w:rPr>
                <w:rFonts w:ascii="Calibri" w:hAnsi="Calibri" w:cs="Times New Roman"/>
                <w:b/>
              </w:rPr>
            </w:pPr>
            <w:r w:rsidRPr="003E342D">
              <w:rPr>
                <w:rFonts w:ascii="Calibri" w:hAnsi="Calibri" w:cs="Times New Roman"/>
                <w:b/>
              </w:rPr>
              <w:t>6.1</w:t>
            </w:r>
          </w:p>
        </w:tc>
        <w:tc>
          <w:tcPr>
            <w:tcW w:w="7908" w:type="dxa"/>
            <w:gridSpan w:val="3"/>
            <w:shd w:val="clear" w:color="auto" w:fill="E5B8B7" w:themeFill="accent2" w:themeFillTint="66"/>
          </w:tcPr>
          <w:p w14:paraId="3E4D248E" w14:textId="3ED45EF6" w:rsidR="00911C0A" w:rsidRPr="003E342D" w:rsidRDefault="00911C0A" w:rsidP="00911C0A">
            <w:pPr>
              <w:rPr>
                <w:rFonts w:ascii="Calibri" w:hAnsi="Calibri" w:cs="Arial"/>
                <w:b/>
              </w:rPr>
            </w:pPr>
            <w:r w:rsidRPr="003E342D">
              <w:rPr>
                <w:rFonts w:ascii="Calibri" w:hAnsi="Calibri" w:cs="Times New Roman"/>
                <w:b/>
              </w:rPr>
              <w:t>Productivity Strategy</w:t>
            </w:r>
          </w:p>
        </w:tc>
      </w:tr>
      <w:tr w:rsidR="00911C0A" w:rsidRPr="004B2A56" w14:paraId="5545A4DB" w14:textId="77777777" w:rsidTr="00582875">
        <w:trPr>
          <w:gridAfter w:val="1"/>
          <w:wAfter w:w="18" w:type="dxa"/>
        </w:trPr>
        <w:tc>
          <w:tcPr>
            <w:tcW w:w="7434" w:type="dxa"/>
            <w:gridSpan w:val="3"/>
            <w:shd w:val="clear" w:color="auto" w:fill="FFFFFF" w:themeFill="background1"/>
          </w:tcPr>
          <w:p w14:paraId="1643B694" w14:textId="31EF4593" w:rsidR="00911C0A" w:rsidRDefault="00911C0A" w:rsidP="00911C0A">
            <w:pPr>
              <w:rPr>
                <w:rFonts w:ascii="Calibri" w:hAnsi="Calibri" w:cs="Times New Roman"/>
              </w:rPr>
            </w:pPr>
            <w:r>
              <w:rPr>
                <w:rFonts w:ascii="Calibri" w:hAnsi="Calibri" w:cs="Times New Roman"/>
              </w:rPr>
              <w:lastRenderedPageBreak/>
              <w:t xml:space="preserve">EJ informed SIP that the draft strategy would be going to </w:t>
            </w:r>
            <w:r w:rsidR="00591FED">
              <w:rPr>
                <w:rFonts w:ascii="Calibri" w:hAnsi="Calibri" w:cs="Times New Roman"/>
              </w:rPr>
              <w:t xml:space="preserve">the LEP </w:t>
            </w:r>
            <w:r>
              <w:rPr>
                <w:rFonts w:ascii="Calibri" w:hAnsi="Calibri" w:cs="Times New Roman"/>
              </w:rPr>
              <w:t>Board on the 13</w:t>
            </w:r>
            <w:r w:rsidRPr="00582875">
              <w:rPr>
                <w:rFonts w:ascii="Calibri" w:hAnsi="Calibri" w:cs="Times New Roman"/>
                <w:vertAlign w:val="superscript"/>
              </w:rPr>
              <w:t>th</w:t>
            </w:r>
            <w:r>
              <w:rPr>
                <w:rFonts w:ascii="Calibri" w:hAnsi="Calibri" w:cs="Times New Roman"/>
              </w:rPr>
              <w:t xml:space="preserve"> March and that both the Board and the Joint Committee would have seen the strategy by the end of the month.</w:t>
            </w:r>
          </w:p>
          <w:p w14:paraId="69D1399C" w14:textId="77777777" w:rsidR="00911C0A" w:rsidRDefault="00911C0A" w:rsidP="00911C0A">
            <w:pPr>
              <w:rPr>
                <w:rFonts w:ascii="Calibri" w:hAnsi="Calibri" w:cs="Times New Roman"/>
              </w:rPr>
            </w:pPr>
          </w:p>
          <w:p w14:paraId="5C3131E9" w14:textId="57801E62" w:rsidR="00911C0A" w:rsidRPr="001904DE" w:rsidRDefault="00911C0A" w:rsidP="00911C0A">
            <w:pPr>
              <w:rPr>
                <w:rFonts w:ascii="Calibri" w:hAnsi="Calibri" w:cs="Times New Roman"/>
              </w:rPr>
            </w:pPr>
            <w:r w:rsidRPr="001904DE">
              <w:rPr>
                <w:rFonts w:ascii="Calibri" w:hAnsi="Calibri" w:cs="Times New Roman"/>
              </w:rPr>
              <w:t xml:space="preserve">SIP </w:t>
            </w:r>
            <w:r w:rsidR="00591FED">
              <w:rPr>
                <w:rFonts w:ascii="Calibri" w:hAnsi="Calibri" w:cs="Times New Roman"/>
              </w:rPr>
              <w:t>Members agreed they were happy for this</w:t>
            </w:r>
            <w:r w:rsidRPr="001904DE">
              <w:rPr>
                <w:rFonts w:ascii="Calibri" w:hAnsi="Calibri" w:cs="Times New Roman"/>
              </w:rPr>
              <w:t xml:space="preserve"> draft to go to</w:t>
            </w:r>
            <w:r w:rsidR="00591FED">
              <w:rPr>
                <w:rFonts w:ascii="Calibri" w:hAnsi="Calibri" w:cs="Times New Roman"/>
              </w:rPr>
              <w:t xml:space="preserve"> the LEP</w:t>
            </w:r>
            <w:r w:rsidRPr="001904DE">
              <w:rPr>
                <w:rFonts w:ascii="Calibri" w:hAnsi="Calibri" w:cs="Times New Roman"/>
              </w:rPr>
              <w:t xml:space="preserve"> Board.</w:t>
            </w:r>
          </w:p>
        </w:tc>
        <w:tc>
          <w:tcPr>
            <w:tcW w:w="1602" w:type="dxa"/>
            <w:shd w:val="clear" w:color="auto" w:fill="FFFFFF" w:themeFill="background1"/>
            <w:vAlign w:val="center"/>
          </w:tcPr>
          <w:p w14:paraId="665490D8" w14:textId="1D827E94" w:rsidR="00911C0A" w:rsidRPr="00582875" w:rsidRDefault="00911C0A" w:rsidP="00911C0A">
            <w:pPr>
              <w:jc w:val="center"/>
              <w:rPr>
                <w:rFonts w:ascii="Calibri" w:hAnsi="Calibri" w:cs="Arial"/>
                <w:b/>
              </w:rPr>
            </w:pPr>
            <w:r w:rsidRPr="00582875">
              <w:rPr>
                <w:rFonts w:ascii="Calibri" w:hAnsi="Calibri" w:cs="Arial"/>
                <w:b/>
              </w:rPr>
              <w:t>N/A</w:t>
            </w:r>
          </w:p>
        </w:tc>
      </w:tr>
      <w:tr w:rsidR="00911C0A" w:rsidRPr="004B2A56" w14:paraId="60F3C0C5" w14:textId="77777777" w:rsidTr="008B29F5">
        <w:trPr>
          <w:gridAfter w:val="1"/>
          <w:wAfter w:w="18" w:type="dxa"/>
        </w:trPr>
        <w:tc>
          <w:tcPr>
            <w:tcW w:w="1128" w:type="dxa"/>
            <w:shd w:val="clear" w:color="auto" w:fill="E5B8B7" w:themeFill="accent2" w:themeFillTint="66"/>
          </w:tcPr>
          <w:p w14:paraId="35FAD1AD" w14:textId="0EA44887" w:rsidR="00911C0A" w:rsidRPr="003E342D" w:rsidRDefault="00911C0A" w:rsidP="00911C0A">
            <w:pPr>
              <w:rPr>
                <w:rFonts w:ascii="Calibri" w:hAnsi="Calibri" w:cs="Times New Roman"/>
                <w:b/>
              </w:rPr>
            </w:pPr>
            <w:r w:rsidRPr="003E342D">
              <w:rPr>
                <w:rFonts w:ascii="Calibri" w:hAnsi="Calibri" w:cs="Times New Roman"/>
                <w:b/>
              </w:rPr>
              <w:t>6.2</w:t>
            </w:r>
          </w:p>
        </w:tc>
        <w:tc>
          <w:tcPr>
            <w:tcW w:w="7908" w:type="dxa"/>
            <w:gridSpan w:val="3"/>
            <w:shd w:val="clear" w:color="auto" w:fill="E5B8B7" w:themeFill="accent2" w:themeFillTint="66"/>
          </w:tcPr>
          <w:p w14:paraId="362FC05F" w14:textId="594C656F" w:rsidR="00911C0A" w:rsidRPr="003E342D" w:rsidRDefault="00911C0A" w:rsidP="00911C0A">
            <w:pPr>
              <w:rPr>
                <w:rFonts w:ascii="Calibri" w:hAnsi="Calibri" w:cs="Arial"/>
                <w:b/>
              </w:rPr>
            </w:pPr>
            <w:r w:rsidRPr="003E342D">
              <w:rPr>
                <w:rFonts w:ascii="Calibri" w:hAnsi="Calibri" w:cs="Arial"/>
                <w:b/>
              </w:rPr>
              <w:t>ESIF Update</w:t>
            </w:r>
          </w:p>
        </w:tc>
      </w:tr>
      <w:tr w:rsidR="00911C0A" w:rsidRPr="004B2A56" w14:paraId="051FF5D2" w14:textId="77777777" w:rsidTr="00265B67">
        <w:trPr>
          <w:gridAfter w:val="1"/>
          <w:wAfter w:w="18" w:type="dxa"/>
        </w:trPr>
        <w:tc>
          <w:tcPr>
            <w:tcW w:w="7434" w:type="dxa"/>
            <w:gridSpan w:val="3"/>
            <w:shd w:val="clear" w:color="auto" w:fill="FFFFFF" w:themeFill="background1"/>
          </w:tcPr>
          <w:p w14:paraId="3CBBF257" w14:textId="05B991A4" w:rsidR="00911C0A" w:rsidRDefault="00911C0A" w:rsidP="00911C0A">
            <w:pPr>
              <w:rPr>
                <w:rFonts w:ascii="Calibri" w:hAnsi="Calibri" w:cs="Times New Roman"/>
              </w:rPr>
            </w:pPr>
            <w:r>
              <w:rPr>
                <w:rFonts w:ascii="Calibri" w:hAnsi="Calibri" w:cs="Times New Roman"/>
              </w:rPr>
              <w:t xml:space="preserve">EJ informed SIP that all </w:t>
            </w:r>
            <w:r w:rsidR="00591FED">
              <w:rPr>
                <w:rFonts w:ascii="Calibri" w:hAnsi="Calibri" w:cs="Times New Roman"/>
              </w:rPr>
              <w:t xml:space="preserve">ERDF </w:t>
            </w:r>
            <w:r w:rsidR="00725153">
              <w:rPr>
                <w:rFonts w:ascii="Calibri" w:hAnsi="Calibri" w:cs="Times New Roman"/>
              </w:rPr>
              <w:t>Priorities</w:t>
            </w:r>
            <w:r>
              <w:rPr>
                <w:rFonts w:ascii="Calibri" w:hAnsi="Calibri" w:cs="Times New Roman"/>
              </w:rPr>
              <w:t>, except for Low Carbon</w:t>
            </w:r>
            <w:r w:rsidR="00591FED">
              <w:rPr>
                <w:rFonts w:ascii="Calibri" w:hAnsi="Calibri" w:cs="Times New Roman"/>
              </w:rPr>
              <w:t xml:space="preserve"> in Somerset area</w:t>
            </w:r>
            <w:r>
              <w:rPr>
                <w:rFonts w:ascii="Calibri" w:hAnsi="Calibri" w:cs="Times New Roman"/>
              </w:rPr>
              <w:t xml:space="preserve">, are oversubscribed with the LEP now working with DCLG to help partners meet </w:t>
            </w:r>
            <w:proofErr w:type="gramStart"/>
            <w:r>
              <w:rPr>
                <w:rFonts w:ascii="Calibri" w:hAnsi="Calibri" w:cs="Times New Roman"/>
              </w:rPr>
              <w:t>their</w:t>
            </w:r>
            <w:proofErr w:type="gramEnd"/>
            <w:r>
              <w:rPr>
                <w:rFonts w:ascii="Calibri" w:hAnsi="Calibri" w:cs="Times New Roman"/>
              </w:rPr>
              <w:t xml:space="preserve"> spend targets.</w:t>
            </w:r>
          </w:p>
          <w:p w14:paraId="44ECBA1F" w14:textId="77777777" w:rsidR="00911C0A" w:rsidRDefault="00911C0A" w:rsidP="00911C0A">
            <w:pPr>
              <w:rPr>
                <w:rFonts w:ascii="Calibri" w:hAnsi="Calibri" w:cs="Times New Roman"/>
              </w:rPr>
            </w:pPr>
          </w:p>
          <w:p w14:paraId="397A69B4" w14:textId="113311E6" w:rsidR="00911C0A" w:rsidRDefault="00911C0A" w:rsidP="00911C0A">
            <w:pPr>
              <w:rPr>
                <w:rFonts w:ascii="Calibri" w:hAnsi="Calibri" w:cs="Times New Roman"/>
              </w:rPr>
            </w:pPr>
            <w:r>
              <w:rPr>
                <w:rFonts w:ascii="Calibri" w:hAnsi="Calibri" w:cs="Times New Roman"/>
              </w:rPr>
              <w:t xml:space="preserve">Three calls remain open </w:t>
            </w:r>
            <w:r w:rsidR="00725153">
              <w:rPr>
                <w:rFonts w:ascii="Calibri" w:hAnsi="Calibri" w:cs="Times New Roman"/>
              </w:rPr>
              <w:t xml:space="preserve">in </w:t>
            </w:r>
            <w:r>
              <w:rPr>
                <w:rFonts w:ascii="Calibri" w:hAnsi="Calibri" w:cs="Times New Roman"/>
              </w:rPr>
              <w:t>RDPE (closing on the 31</w:t>
            </w:r>
            <w:r w:rsidRPr="00E16F1F">
              <w:rPr>
                <w:rFonts w:ascii="Calibri" w:hAnsi="Calibri" w:cs="Times New Roman"/>
                <w:vertAlign w:val="superscript"/>
              </w:rPr>
              <w:t>st</w:t>
            </w:r>
            <w:r>
              <w:rPr>
                <w:rFonts w:ascii="Calibri" w:hAnsi="Calibri" w:cs="Times New Roman"/>
              </w:rPr>
              <w:t xml:space="preserve"> May). There has been a high level of interest, however the LEP expects the attrition rate to be high based on historical trends. </w:t>
            </w:r>
          </w:p>
          <w:p w14:paraId="08F75C96" w14:textId="77777777" w:rsidR="00911C0A" w:rsidRDefault="00911C0A" w:rsidP="00911C0A">
            <w:pPr>
              <w:rPr>
                <w:rFonts w:ascii="Calibri" w:hAnsi="Calibri" w:cs="Times New Roman"/>
              </w:rPr>
            </w:pPr>
          </w:p>
          <w:p w14:paraId="062D0A8A" w14:textId="190E4B9B" w:rsidR="00911C0A" w:rsidRDefault="00725153" w:rsidP="00911C0A">
            <w:pPr>
              <w:rPr>
                <w:rFonts w:ascii="Calibri" w:hAnsi="Calibri" w:cs="Times New Roman"/>
              </w:rPr>
            </w:pPr>
            <w:r>
              <w:rPr>
                <w:rFonts w:ascii="Calibri" w:hAnsi="Calibri" w:cs="Times New Roman"/>
              </w:rPr>
              <w:t xml:space="preserve">Some </w:t>
            </w:r>
            <w:r w:rsidR="00911C0A">
              <w:rPr>
                <w:rFonts w:ascii="Calibri" w:hAnsi="Calibri" w:cs="Times New Roman"/>
              </w:rPr>
              <w:t>LEADER p</w:t>
            </w:r>
            <w:r w:rsidR="00591FED">
              <w:rPr>
                <w:rFonts w:ascii="Calibri" w:hAnsi="Calibri" w:cs="Times New Roman"/>
              </w:rPr>
              <w:t>rojects are still asking to increase</w:t>
            </w:r>
            <w:r w:rsidR="00911C0A">
              <w:rPr>
                <w:rFonts w:ascii="Calibri" w:hAnsi="Calibri" w:cs="Times New Roman"/>
              </w:rPr>
              <w:t xml:space="preserve"> funding</w:t>
            </w:r>
            <w:r w:rsidR="00591FED">
              <w:rPr>
                <w:rFonts w:ascii="Calibri" w:hAnsi="Calibri" w:cs="Times New Roman"/>
              </w:rPr>
              <w:t xml:space="preserve"> allocations</w:t>
            </w:r>
            <w:r>
              <w:rPr>
                <w:rFonts w:ascii="Calibri" w:hAnsi="Calibri" w:cs="Times New Roman"/>
              </w:rPr>
              <w:t xml:space="preserve"> using RDPE Growth Programme monies</w:t>
            </w:r>
            <w:r w:rsidR="00591FED">
              <w:rPr>
                <w:rFonts w:ascii="Calibri" w:hAnsi="Calibri" w:cs="Times New Roman"/>
              </w:rPr>
              <w:t>,</w:t>
            </w:r>
            <w:r w:rsidR="00911C0A">
              <w:rPr>
                <w:rFonts w:ascii="Calibri" w:hAnsi="Calibri" w:cs="Times New Roman"/>
              </w:rPr>
              <w:t xml:space="preserve"> given that they have reached the limit of their current fund. However, the RPA wishes to see where things lie before agreeing to this </w:t>
            </w:r>
            <w:r w:rsidR="00252964">
              <w:rPr>
                <w:rFonts w:ascii="Calibri" w:hAnsi="Calibri" w:cs="Times New Roman"/>
              </w:rPr>
              <w:t>(</w:t>
            </w:r>
            <w:r w:rsidR="00911C0A">
              <w:rPr>
                <w:rFonts w:ascii="Calibri" w:hAnsi="Calibri" w:cs="Times New Roman"/>
              </w:rPr>
              <w:t>the equitable division of any money between the 8 local groups also of consideration</w:t>
            </w:r>
            <w:r w:rsidR="00252964">
              <w:rPr>
                <w:rFonts w:ascii="Calibri" w:hAnsi="Calibri" w:cs="Times New Roman"/>
              </w:rPr>
              <w:t>)</w:t>
            </w:r>
            <w:r w:rsidR="00911C0A">
              <w:rPr>
                <w:rFonts w:ascii="Calibri" w:hAnsi="Calibri" w:cs="Times New Roman"/>
              </w:rPr>
              <w:t>.</w:t>
            </w:r>
            <w:r>
              <w:rPr>
                <w:rFonts w:ascii="Calibri" w:hAnsi="Calibri" w:cs="Times New Roman"/>
              </w:rPr>
              <w:t xml:space="preserve"> The LEP agrees that this is an appropriate stance.</w:t>
            </w:r>
          </w:p>
          <w:p w14:paraId="11116E8C" w14:textId="77777777" w:rsidR="00911C0A" w:rsidRDefault="00911C0A" w:rsidP="00911C0A">
            <w:pPr>
              <w:rPr>
                <w:rFonts w:ascii="Calibri" w:hAnsi="Calibri" w:cs="Times New Roman"/>
              </w:rPr>
            </w:pPr>
          </w:p>
          <w:p w14:paraId="494D7E55" w14:textId="4DC3F5CE" w:rsidR="00911C0A" w:rsidRPr="004B2A56" w:rsidRDefault="00911C0A" w:rsidP="00911C0A">
            <w:pPr>
              <w:rPr>
                <w:rFonts w:ascii="Calibri" w:hAnsi="Calibri" w:cs="Times New Roman"/>
              </w:rPr>
            </w:pPr>
            <w:r>
              <w:rPr>
                <w:rFonts w:ascii="Calibri" w:hAnsi="Calibri" w:cs="Times New Roman"/>
              </w:rPr>
              <w:t>DCC is still working with DWP regarding the European Social Fund and potential avenues for the £19m underspend. DCC has identified £10m of potential bids through local calls and is liaising with DWP about how to set these up going forward.</w:t>
            </w:r>
            <w:r w:rsidR="00725153">
              <w:rPr>
                <w:rFonts w:ascii="Calibri" w:hAnsi="Calibri" w:cs="Times New Roman"/>
              </w:rPr>
              <w:t xml:space="preserve"> The LEP Network is also pressing DWP on this as the issue applies across many LEP areas.</w:t>
            </w:r>
          </w:p>
        </w:tc>
        <w:tc>
          <w:tcPr>
            <w:tcW w:w="1602" w:type="dxa"/>
            <w:shd w:val="clear" w:color="auto" w:fill="FFFFFF" w:themeFill="background1"/>
            <w:vAlign w:val="center"/>
          </w:tcPr>
          <w:p w14:paraId="3CF459A5" w14:textId="298863AC" w:rsidR="00911C0A" w:rsidRPr="00265B67" w:rsidRDefault="00911C0A" w:rsidP="00911C0A">
            <w:pPr>
              <w:jc w:val="center"/>
              <w:rPr>
                <w:rFonts w:ascii="Calibri" w:hAnsi="Calibri" w:cs="Arial"/>
                <w:b/>
              </w:rPr>
            </w:pPr>
            <w:r w:rsidRPr="00265B67">
              <w:rPr>
                <w:rFonts w:ascii="Calibri" w:hAnsi="Calibri" w:cs="Arial"/>
                <w:b/>
              </w:rPr>
              <w:t>N/A</w:t>
            </w:r>
          </w:p>
        </w:tc>
      </w:tr>
      <w:tr w:rsidR="00911C0A" w:rsidRPr="004B2A56" w14:paraId="2F9D7BB2" w14:textId="77777777" w:rsidTr="008B29F5">
        <w:trPr>
          <w:gridAfter w:val="1"/>
          <w:wAfter w:w="18" w:type="dxa"/>
        </w:trPr>
        <w:tc>
          <w:tcPr>
            <w:tcW w:w="1128" w:type="dxa"/>
            <w:shd w:val="clear" w:color="auto" w:fill="E5B8B7" w:themeFill="accent2" w:themeFillTint="66"/>
          </w:tcPr>
          <w:p w14:paraId="71C72AB0" w14:textId="6215005F" w:rsidR="00911C0A" w:rsidRPr="003E342D" w:rsidRDefault="00911C0A" w:rsidP="00911C0A">
            <w:pPr>
              <w:rPr>
                <w:rFonts w:ascii="Calibri" w:hAnsi="Calibri" w:cs="Times New Roman"/>
                <w:b/>
              </w:rPr>
            </w:pPr>
            <w:r w:rsidRPr="003E342D">
              <w:rPr>
                <w:rFonts w:ascii="Calibri" w:hAnsi="Calibri" w:cs="Times New Roman"/>
                <w:b/>
              </w:rPr>
              <w:t>6.3</w:t>
            </w:r>
          </w:p>
        </w:tc>
        <w:tc>
          <w:tcPr>
            <w:tcW w:w="7908" w:type="dxa"/>
            <w:gridSpan w:val="3"/>
            <w:shd w:val="clear" w:color="auto" w:fill="E5B8B7" w:themeFill="accent2" w:themeFillTint="66"/>
          </w:tcPr>
          <w:p w14:paraId="04F1141E" w14:textId="79AB358F" w:rsidR="00911C0A" w:rsidRPr="003E342D" w:rsidRDefault="00911C0A" w:rsidP="00911C0A">
            <w:pPr>
              <w:rPr>
                <w:rFonts w:ascii="Calibri" w:hAnsi="Calibri" w:cs="Arial"/>
                <w:b/>
              </w:rPr>
            </w:pPr>
            <w:r w:rsidRPr="003E342D">
              <w:rPr>
                <w:rFonts w:ascii="Calibri" w:hAnsi="Calibri" w:cs="Arial"/>
                <w:b/>
              </w:rPr>
              <w:t>LEP Business Plan and Budget 2018/2019</w:t>
            </w:r>
          </w:p>
        </w:tc>
      </w:tr>
      <w:tr w:rsidR="00911C0A" w:rsidRPr="004B2A56" w14:paraId="592CDBD0" w14:textId="77777777" w:rsidTr="00D57934">
        <w:trPr>
          <w:gridAfter w:val="1"/>
          <w:wAfter w:w="18" w:type="dxa"/>
        </w:trPr>
        <w:tc>
          <w:tcPr>
            <w:tcW w:w="7434" w:type="dxa"/>
            <w:gridSpan w:val="3"/>
            <w:tcBorders>
              <w:bottom w:val="nil"/>
            </w:tcBorders>
            <w:shd w:val="clear" w:color="auto" w:fill="FFFFFF" w:themeFill="background1"/>
          </w:tcPr>
          <w:p w14:paraId="0F228BB2" w14:textId="19E21057" w:rsidR="00911C0A" w:rsidRDefault="00911C0A" w:rsidP="00911C0A">
            <w:pPr>
              <w:rPr>
                <w:rFonts w:ascii="Calibri" w:hAnsi="Calibri" w:cs="Times New Roman"/>
              </w:rPr>
            </w:pPr>
            <w:r>
              <w:rPr>
                <w:rFonts w:ascii="Calibri" w:hAnsi="Calibri" w:cs="Times New Roman"/>
              </w:rPr>
              <w:t xml:space="preserve">CG informed SIP that the LEP review </w:t>
            </w:r>
            <w:r w:rsidR="00591FED">
              <w:rPr>
                <w:rFonts w:ascii="Calibri" w:hAnsi="Calibri" w:cs="Times New Roman"/>
              </w:rPr>
              <w:t>report i</w:t>
            </w:r>
            <w:r>
              <w:rPr>
                <w:rFonts w:ascii="Calibri" w:hAnsi="Calibri" w:cs="Times New Roman"/>
              </w:rPr>
              <w:t xml:space="preserve">s now expected after the May elections (possibly June). The </w:t>
            </w:r>
            <w:proofErr w:type="spellStart"/>
            <w:r>
              <w:rPr>
                <w:rFonts w:ascii="Calibri" w:hAnsi="Calibri" w:cs="Times New Roman"/>
              </w:rPr>
              <w:t>HotSW</w:t>
            </w:r>
            <w:proofErr w:type="spellEnd"/>
            <w:r>
              <w:rPr>
                <w:rFonts w:ascii="Calibri" w:hAnsi="Calibri" w:cs="Times New Roman"/>
              </w:rPr>
              <w:t xml:space="preserve"> business plan </w:t>
            </w:r>
            <w:r w:rsidR="00591FED">
              <w:rPr>
                <w:rFonts w:ascii="Calibri" w:hAnsi="Calibri" w:cs="Times New Roman"/>
              </w:rPr>
              <w:t xml:space="preserve">has been produced </w:t>
            </w:r>
            <w:r>
              <w:rPr>
                <w:rFonts w:ascii="Calibri" w:hAnsi="Calibri" w:cs="Times New Roman"/>
              </w:rPr>
              <w:t>to link to the productivity strategy and focus on greater stakeholder engagement</w:t>
            </w:r>
            <w:r w:rsidR="00725153">
              <w:rPr>
                <w:rFonts w:ascii="Calibri" w:hAnsi="Calibri" w:cs="Times New Roman"/>
              </w:rPr>
              <w:t xml:space="preserve"> whilst remaining flexible in response to what may be in the LEP review</w:t>
            </w:r>
            <w:r>
              <w:rPr>
                <w:rFonts w:ascii="Calibri" w:hAnsi="Calibri" w:cs="Times New Roman"/>
              </w:rPr>
              <w:t xml:space="preserve">. </w:t>
            </w:r>
          </w:p>
          <w:p w14:paraId="5F214CA1" w14:textId="77777777" w:rsidR="00911C0A" w:rsidRDefault="00911C0A" w:rsidP="00911C0A">
            <w:pPr>
              <w:rPr>
                <w:rFonts w:ascii="Calibri" w:hAnsi="Calibri" w:cs="Times New Roman"/>
              </w:rPr>
            </w:pPr>
          </w:p>
          <w:p w14:paraId="44FE2026" w14:textId="785D739A" w:rsidR="00911C0A" w:rsidRPr="001904DE" w:rsidRDefault="001904DE" w:rsidP="00911C0A">
            <w:pPr>
              <w:rPr>
                <w:rFonts w:ascii="Calibri" w:hAnsi="Calibri" w:cs="Times New Roman"/>
              </w:rPr>
            </w:pPr>
            <w:r w:rsidRPr="001904DE">
              <w:rPr>
                <w:rFonts w:ascii="Calibri" w:hAnsi="Calibri" w:cs="Times New Roman"/>
              </w:rPr>
              <w:t xml:space="preserve">The </w:t>
            </w:r>
            <w:r w:rsidR="00911C0A" w:rsidRPr="001904DE">
              <w:rPr>
                <w:rFonts w:ascii="Calibri" w:hAnsi="Calibri" w:cs="Times New Roman"/>
              </w:rPr>
              <w:t>SIP supported the draft business plan and its recommendations</w:t>
            </w:r>
            <w:r w:rsidR="006C01F6">
              <w:rPr>
                <w:rFonts w:ascii="Calibri" w:hAnsi="Calibri" w:cs="Times New Roman"/>
              </w:rPr>
              <w:t xml:space="preserve"> to go to the LEP Board</w:t>
            </w:r>
            <w:r w:rsidR="00911C0A" w:rsidRPr="001904DE">
              <w:rPr>
                <w:rFonts w:ascii="Calibri" w:hAnsi="Calibri" w:cs="Times New Roman"/>
              </w:rPr>
              <w:t>.</w:t>
            </w:r>
          </w:p>
        </w:tc>
        <w:tc>
          <w:tcPr>
            <w:tcW w:w="1602" w:type="dxa"/>
            <w:tcBorders>
              <w:bottom w:val="nil"/>
            </w:tcBorders>
            <w:shd w:val="clear" w:color="auto" w:fill="FFFFFF" w:themeFill="background1"/>
          </w:tcPr>
          <w:p w14:paraId="642421AD" w14:textId="77777777" w:rsidR="00911C0A" w:rsidRPr="004B2A56" w:rsidRDefault="00911C0A" w:rsidP="00911C0A">
            <w:pPr>
              <w:rPr>
                <w:rFonts w:ascii="Calibri" w:hAnsi="Calibri" w:cs="Arial"/>
              </w:rPr>
            </w:pPr>
          </w:p>
        </w:tc>
      </w:tr>
      <w:tr w:rsidR="00911C0A" w:rsidRPr="004B2A56" w14:paraId="6802C635" w14:textId="77777777" w:rsidTr="00A94ACD">
        <w:trPr>
          <w:gridAfter w:val="1"/>
          <w:wAfter w:w="18" w:type="dxa"/>
        </w:trPr>
        <w:tc>
          <w:tcPr>
            <w:tcW w:w="7434" w:type="dxa"/>
            <w:gridSpan w:val="3"/>
            <w:tcBorders>
              <w:top w:val="nil"/>
              <w:bottom w:val="thinThickThinLargeGap" w:sz="24" w:space="0" w:color="auto"/>
            </w:tcBorders>
            <w:shd w:val="clear" w:color="auto" w:fill="FFFFFF" w:themeFill="background1"/>
          </w:tcPr>
          <w:p w14:paraId="629A9C8A" w14:textId="2256D36F" w:rsidR="00911C0A" w:rsidRPr="00A94ACD" w:rsidRDefault="00911C0A" w:rsidP="00911C0A">
            <w:pPr>
              <w:rPr>
                <w:rFonts w:ascii="Calibri" w:hAnsi="Calibri" w:cs="Times New Roman"/>
                <w:b/>
              </w:rPr>
            </w:pPr>
            <w:r w:rsidRPr="00A94ACD">
              <w:rPr>
                <w:rFonts w:ascii="Calibri" w:hAnsi="Calibri" w:cs="Times New Roman"/>
                <w:b/>
              </w:rPr>
              <w:t xml:space="preserve">Action: </w:t>
            </w:r>
            <w:r w:rsidRPr="00A94ACD">
              <w:rPr>
                <w:rFonts w:ascii="Calibri" w:hAnsi="Calibri" w:cs="Times New Roman"/>
              </w:rPr>
              <w:t>Amend pie chart to state LA SLAs rather than staff</w:t>
            </w:r>
            <w:r w:rsidR="00591FED">
              <w:rPr>
                <w:rFonts w:ascii="Calibri" w:hAnsi="Calibri" w:cs="Times New Roman"/>
              </w:rPr>
              <w:t xml:space="preserve"> where appropriate</w:t>
            </w:r>
            <w:r w:rsidRPr="00A94ACD">
              <w:rPr>
                <w:rFonts w:ascii="Calibri" w:hAnsi="Calibri" w:cs="Times New Roman"/>
              </w:rPr>
              <w:t>.</w:t>
            </w:r>
          </w:p>
        </w:tc>
        <w:tc>
          <w:tcPr>
            <w:tcW w:w="1602" w:type="dxa"/>
            <w:tcBorders>
              <w:top w:val="nil"/>
              <w:bottom w:val="thinThickThinLargeGap" w:sz="24" w:space="0" w:color="auto"/>
            </w:tcBorders>
            <w:shd w:val="clear" w:color="auto" w:fill="FFFFFF" w:themeFill="background1"/>
            <w:vAlign w:val="center"/>
          </w:tcPr>
          <w:p w14:paraId="60744833" w14:textId="59D52DC8" w:rsidR="00911C0A" w:rsidRPr="00A94ACD" w:rsidRDefault="00911C0A" w:rsidP="00591FED">
            <w:pPr>
              <w:rPr>
                <w:rFonts w:ascii="Calibri" w:hAnsi="Calibri" w:cs="Arial"/>
                <w:b/>
              </w:rPr>
            </w:pPr>
            <w:r w:rsidRPr="00A94ACD">
              <w:rPr>
                <w:rFonts w:ascii="Calibri" w:hAnsi="Calibri" w:cs="Arial"/>
                <w:b/>
              </w:rPr>
              <w:t>CG</w:t>
            </w:r>
          </w:p>
        </w:tc>
      </w:tr>
      <w:tr w:rsidR="00911C0A" w:rsidRPr="004B2A56" w14:paraId="1119A567" w14:textId="77777777" w:rsidTr="00E96166">
        <w:trPr>
          <w:gridAfter w:val="1"/>
          <w:wAfter w:w="18" w:type="dxa"/>
        </w:trPr>
        <w:tc>
          <w:tcPr>
            <w:tcW w:w="1128" w:type="dxa"/>
            <w:tcBorders>
              <w:top w:val="thinThickThinLargeGap" w:sz="24" w:space="0" w:color="auto"/>
            </w:tcBorders>
            <w:shd w:val="clear" w:color="auto" w:fill="95B3D7" w:themeFill="accent1" w:themeFillTint="99"/>
          </w:tcPr>
          <w:p w14:paraId="7897ACEC" w14:textId="2CEAEB83" w:rsidR="00911C0A" w:rsidRPr="004B2A56" w:rsidRDefault="00911C0A" w:rsidP="00911C0A">
            <w:pPr>
              <w:rPr>
                <w:rFonts w:ascii="Calibri" w:hAnsi="Calibri" w:cs="Times New Roman"/>
                <w:b/>
              </w:rPr>
            </w:pPr>
            <w:r>
              <w:rPr>
                <w:rFonts w:ascii="Calibri" w:hAnsi="Calibri" w:cs="Times New Roman"/>
                <w:b/>
              </w:rPr>
              <w:t>7</w:t>
            </w:r>
          </w:p>
        </w:tc>
        <w:tc>
          <w:tcPr>
            <w:tcW w:w="7908" w:type="dxa"/>
            <w:gridSpan w:val="3"/>
            <w:tcBorders>
              <w:top w:val="thinThickThinLargeGap" w:sz="24" w:space="0" w:color="auto"/>
            </w:tcBorders>
            <w:shd w:val="clear" w:color="auto" w:fill="95B3D7" w:themeFill="accent1" w:themeFillTint="99"/>
          </w:tcPr>
          <w:p w14:paraId="229D8C3C" w14:textId="773245AE" w:rsidR="00911C0A" w:rsidRPr="004B2A56" w:rsidRDefault="00911C0A" w:rsidP="00911C0A">
            <w:pPr>
              <w:rPr>
                <w:rFonts w:ascii="Calibri" w:hAnsi="Calibri" w:cs="Arial"/>
              </w:rPr>
            </w:pPr>
            <w:r>
              <w:rPr>
                <w:rFonts w:ascii="Calibri" w:hAnsi="Calibri" w:cs="Arial"/>
                <w:b/>
              </w:rPr>
              <w:t>AOB</w:t>
            </w:r>
          </w:p>
        </w:tc>
      </w:tr>
      <w:tr w:rsidR="00911C0A" w:rsidRPr="004B2A56" w14:paraId="43F917F7" w14:textId="77777777" w:rsidTr="001A339E">
        <w:trPr>
          <w:gridAfter w:val="1"/>
          <w:wAfter w:w="18" w:type="dxa"/>
        </w:trPr>
        <w:tc>
          <w:tcPr>
            <w:tcW w:w="7434" w:type="dxa"/>
            <w:gridSpan w:val="3"/>
            <w:shd w:val="clear" w:color="auto" w:fill="FFFFFF" w:themeFill="background1"/>
            <w:vAlign w:val="center"/>
          </w:tcPr>
          <w:p w14:paraId="65AA2E1C" w14:textId="119D368A" w:rsidR="00911C0A" w:rsidRPr="001A339E" w:rsidRDefault="00911C0A" w:rsidP="00911C0A">
            <w:pPr>
              <w:jc w:val="center"/>
              <w:rPr>
                <w:rFonts w:ascii="Calibri" w:hAnsi="Calibri" w:cs="Times New Roman"/>
                <w:b/>
              </w:rPr>
            </w:pPr>
            <w:r w:rsidRPr="001A339E">
              <w:rPr>
                <w:rFonts w:ascii="Calibri" w:hAnsi="Calibri" w:cs="Times New Roman"/>
                <w:b/>
              </w:rPr>
              <w:t>None</w:t>
            </w:r>
          </w:p>
        </w:tc>
        <w:tc>
          <w:tcPr>
            <w:tcW w:w="1602" w:type="dxa"/>
            <w:shd w:val="clear" w:color="auto" w:fill="FFFFFF" w:themeFill="background1"/>
            <w:vAlign w:val="center"/>
          </w:tcPr>
          <w:p w14:paraId="4CB7D87D" w14:textId="3C3BE6F3" w:rsidR="00911C0A" w:rsidRPr="001A339E" w:rsidRDefault="00911C0A" w:rsidP="00911C0A">
            <w:pPr>
              <w:jc w:val="center"/>
              <w:rPr>
                <w:rFonts w:ascii="Calibri" w:hAnsi="Calibri" w:cs="Arial"/>
                <w:b/>
              </w:rPr>
            </w:pPr>
            <w:r>
              <w:rPr>
                <w:rFonts w:ascii="Calibri" w:hAnsi="Calibri" w:cs="Arial"/>
                <w:b/>
              </w:rPr>
              <w:t>N/A</w:t>
            </w:r>
          </w:p>
        </w:tc>
      </w:tr>
    </w:tbl>
    <w:p w14:paraId="18674EEB" w14:textId="0C657081" w:rsidR="004B2A56" w:rsidRDefault="004B2A56" w:rsidP="00712F1E">
      <w:pPr>
        <w:rPr>
          <w:rFonts w:ascii="Calibri" w:hAnsi="Calibri"/>
        </w:rPr>
      </w:pPr>
    </w:p>
    <w:p w14:paraId="2A99B9EA" w14:textId="18BB7A11" w:rsidR="000B0BCC" w:rsidRDefault="000B0BCC" w:rsidP="00712F1E">
      <w:pPr>
        <w:rPr>
          <w:rFonts w:ascii="Calibri" w:hAnsi="Calibri"/>
        </w:rPr>
      </w:pPr>
    </w:p>
    <w:p w14:paraId="6B4697CB" w14:textId="318C4E29" w:rsidR="000B0BCC" w:rsidRDefault="000B0BCC" w:rsidP="00712F1E">
      <w:pPr>
        <w:rPr>
          <w:rFonts w:ascii="Calibri" w:hAnsi="Calibri"/>
        </w:rPr>
      </w:pPr>
    </w:p>
    <w:p w14:paraId="6E9F43A6" w14:textId="57666EBD" w:rsidR="000B0BCC" w:rsidRDefault="000B0BCC" w:rsidP="00712F1E">
      <w:pPr>
        <w:rPr>
          <w:rFonts w:ascii="Calibri" w:hAnsi="Calibri"/>
        </w:rPr>
      </w:pPr>
    </w:p>
    <w:p w14:paraId="0FB32679" w14:textId="0CF177B0" w:rsidR="000B0BCC" w:rsidRDefault="000B0BCC" w:rsidP="00712F1E">
      <w:pPr>
        <w:rPr>
          <w:rFonts w:ascii="Calibri" w:hAnsi="Calibri"/>
        </w:rPr>
      </w:pPr>
    </w:p>
    <w:p w14:paraId="268960C6" w14:textId="4B5D7141" w:rsidR="000B0BCC" w:rsidRDefault="000B0BCC" w:rsidP="00712F1E">
      <w:pPr>
        <w:rPr>
          <w:rFonts w:ascii="Calibri" w:hAnsi="Calibri"/>
        </w:rPr>
      </w:pPr>
    </w:p>
    <w:p w14:paraId="5ACEB276" w14:textId="0FC2790A" w:rsidR="000B0BCC" w:rsidRDefault="000B0BCC" w:rsidP="00712F1E">
      <w:pPr>
        <w:rPr>
          <w:rFonts w:ascii="Calibri" w:hAnsi="Calibri"/>
        </w:rPr>
      </w:pPr>
    </w:p>
    <w:p w14:paraId="32AA22F1" w14:textId="467BF818" w:rsidR="000B0BCC" w:rsidRDefault="000B0BCC" w:rsidP="00712F1E">
      <w:pPr>
        <w:rPr>
          <w:rFonts w:ascii="Calibri" w:hAnsi="Calibri"/>
        </w:rPr>
      </w:pPr>
    </w:p>
    <w:p w14:paraId="1CE994AD" w14:textId="5CC01744" w:rsidR="000B0BCC" w:rsidRDefault="000B0BCC" w:rsidP="00712F1E">
      <w:pPr>
        <w:rPr>
          <w:rFonts w:ascii="Calibri" w:hAnsi="Calibri"/>
        </w:rPr>
      </w:pPr>
    </w:p>
    <w:p w14:paraId="504972CE" w14:textId="650CE5C2" w:rsidR="000B0BCC" w:rsidRDefault="000B0BCC" w:rsidP="00712F1E">
      <w:pPr>
        <w:rPr>
          <w:rFonts w:ascii="Calibri" w:hAnsi="Calibri"/>
        </w:rPr>
      </w:pPr>
    </w:p>
    <w:p w14:paraId="3AD7342B" w14:textId="77777777" w:rsidR="000B0BCC" w:rsidRDefault="000B0BCC" w:rsidP="00712F1E">
      <w:pPr>
        <w:rPr>
          <w:rFonts w:ascii="Calibri" w:hAnsi="Calibri"/>
        </w:rPr>
      </w:pPr>
    </w:p>
    <w:p w14:paraId="119E651D" w14:textId="62BEFE24" w:rsidR="00712F1E" w:rsidRPr="006B2458" w:rsidRDefault="004B2A56" w:rsidP="00712F1E">
      <w:pPr>
        <w:rPr>
          <w:rFonts w:ascii="Calibri" w:hAnsi="Calibri"/>
          <w:b/>
        </w:rPr>
      </w:pPr>
      <w:r>
        <w:rPr>
          <w:rFonts w:ascii="Calibri" w:hAnsi="Calibri"/>
          <w:b/>
        </w:rPr>
        <w:lastRenderedPageBreak/>
        <w:t xml:space="preserve">Next Meeting: </w:t>
      </w:r>
      <w:r w:rsidR="004B228F">
        <w:rPr>
          <w:rFonts w:ascii="Calibri" w:hAnsi="Calibri"/>
          <w:b/>
        </w:rPr>
        <w:t>04/04/2018</w:t>
      </w:r>
    </w:p>
    <w:p w14:paraId="188AD1CA" w14:textId="77777777" w:rsidR="00EB6AF8" w:rsidRPr="00A2102C" w:rsidRDefault="00EB6AF8" w:rsidP="00EB6AF8">
      <w:pPr>
        <w:rPr>
          <w:rFonts w:ascii="Arial" w:hAnsi="Arial" w:cs="Arial"/>
          <w:b/>
          <w:sz w:val="28"/>
          <w:szCs w:val="28"/>
        </w:rPr>
      </w:pPr>
      <w:r w:rsidRPr="00A2102C">
        <w:rPr>
          <w:rFonts w:ascii="Arial" w:hAnsi="Arial" w:cs="Arial"/>
          <w:b/>
          <w:sz w:val="28"/>
          <w:szCs w:val="28"/>
        </w:rPr>
        <w:t>Table of Decisions</w:t>
      </w:r>
    </w:p>
    <w:p w14:paraId="209EF18D" w14:textId="77777777" w:rsidR="00EB6AF8" w:rsidRDefault="00EB6AF8" w:rsidP="00EB6AF8">
      <w:pPr>
        <w:rPr>
          <w:rFonts w:ascii="Arial" w:hAnsi="Arial" w:cs="Arial"/>
        </w:rPr>
      </w:pPr>
    </w:p>
    <w:tbl>
      <w:tblPr>
        <w:tblStyle w:val="TableGrid"/>
        <w:tblW w:w="0" w:type="auto"/>
        <w:tblLook w:val="04A0" w:firstRow="1" w:lastRow="0" w:firstColumn="1" w:lastColumn="0" w:noHBand="0" w:noVBand="1"/>
      </w:tblPr>
      <w:tblGrid>
        <w:gridCol w:w="2263"/>
        <w:gridCol w:w="3777"/>
        <w:gridCol w:w="3014"/>
      </w:tblGrid>
      <w:tr w:rsidR="00EB6AF8" w14:paraId="040CB8E0" w14:textId="77777777" w:rsidTr="00751ABF">
        <w:tc>
          <w:tcPr>
            <w:tcW w:w="2263" w:type="dxa"/>
            <w:shd w:val="clear" w:color="auto" w:fill="8DB3E2" w:themeFill="text2" w:themeFillTint="66"/>
          </w:tcPr>
          <w:p w14:paraId="0CA5666C" w14:textId="451743B4" w:rsidR="00EB6AF8" w:rsidRDefault="000A4D65" w:rsidP="00F83DA1">
            <w:pPr>
              <w:rPr>
                <w:rFonts w:ascii="Arial" w:hAnsi="Arial" w:cs="Arial"/>
              </w:rPr>
            </w:pPr>
            <w:r>
              <w:rPr>
                <w:rFonts w:ascii="Arial" w:hAnsi="Arial" w:cs="Arial"/>
              </w:rPr>
              <w:t xml:space="preserve">SIP </w:t>
            </w:r>
            <w:r w:rsidR="00EB6AF8">
              <w:rPr>
                <w:rFonts w:ascii="Arial" w:hAnsi="Arial" w:cs="Arial"/>
              </w:rPr>
              <w:t>Paper</w:t>
            </w:r>
          </w:p>
        </w:tc>
        <w:tc>
          <w:tcPr>
            <w:tcW w:w="3777" w:type="dxa"/>
            <w:shd w:val="clear" w:color="auto" w:fill="8DB3E2" w:themeFill="text2" w:themeFillTint="66"/>
          </w:tcPr>
          <w:p w14:paraId="4056F98D" w14:textId="77777777" w:rsidR="00EB6AF8" w:rsidRDefault="00EB6AF8" w:rsidP="00F83DA1">
            <w:pPr>
              <w:rPr>
                <w:rFonts w:ascii="Arial" w:hAnsi="Arial" w:cs="Arial"/>
              </w:rPr>
            </w:pPr>
            <w:r>
              <w:rPr>
                <w:rFonts w:ascii="Arial" w:hAnsi="Arial" w:cs="Arial"/>
              </w:rPr>
              <w:t>Decision Required</w:t>
            </w:r>
          </w:p>
        </w:tc>
        <w:tc>
          <w:tcPr>
            <w:tcW w:w="3014" w:type="dxa"/>
            <w:shd w:val="clear" w:color="auto" w:fill="8DB3E2" w:themeFill="text2" w:themeFillTint="66"/>
          </w:tcPr>
          <w:p w14:paraId="63B07887" w14:textId="77777777" w:rsidR="00EB6AF8" w:rsidRDefault="00EB6AF8" w:rsidP="00F83DA1">
            <w:pPr>
              <w:rPr>
                <w:rFonts w:ascii="Arial" w:hAnsi="Arial" w:cs="Arial"/>
              </w:rPr>
            </w:pPr>
            <w:r>
              <w:rPr>
                <w:rFonts w:ascii="Arial" w:hAnsi="Arial" w:cs="Arial"/>
              </w:rPr>
              <w:t>Decision Agreed</w:t>
            </w:r>
          </w:p>
        </w:tc>
      </w:tr>
      <w:tr w:rsidR="00EB6AF8" w14:paraId="7DDA3526" w14:textId="77777777" w:rsidTr="00751ABF">
        <w:tc>
          <w:tcPr>
            <w:tcW w:w="2263" w:type="dxa"/>
            <w:vAlign w:val="center"/>
          </w:tcPr>
          <w:p w14:paraId="771D1714" w14:textId="77777777" w:rsidR="00EB6AF8" w:rsidRDefault="00EB6AF8" w:rsidP="00E93BA4">
            <w:pPr>
              <w:rPr>
                <w:rFonts w:ascii="Arial" w:hAnsi="Arial" w:cs="Arial"/>
              </w:rPr>
            </w:pPr>
          </w:p>
          <w:p w14:paraId="320B52D4" w14:textId="7505BA29" w:rsidR="00EB6AF8" w:rsidRDefault="00E93BA4" w:rsidP="00E93BA4">
            <w:pPr>
              <w:rPr>
                <w:rFonts w:ascii="Arial" w:hAnsi="Arial" w:cs="Arial"/>
              </w:rPr>
            </w:pPr>
            <w:r w:rsidRPr="00E93BA4">
              <w:rPr>
                <w:rFonts w:ascii="Arial" w:hAnsi="Arial" w:cs="Arial"/>
              </w:rPr>
              <w:t>EPIC Business Case Variation</w:t>
            </w:r>
          </w:p>
        </w:tc>
        <w:tc>
          <w:tcPr>
            <w:tcW w:w="3777" w:type="dxa"/>
            <w:vAlign w:val="center"/>
          </w:tcPr>
          <w:p w14:paraId="77754C87" w14:textId="128EF041" w:rsidR="00EB6AF8" w:rsidRDefault="00E93BA4" w:rsidP="00E93BA4">
            <w:pPr>
              <w:rPr>
                <w:rFonts w:ascii="Arial" w:hAnsi="Arial" w:cs="Arial"/>
              </w:rPr>
            </w:pPr>
            <w:r>
              <w:rPr>
                <w:rFonts w:ascii="Arial" w:hAnsi="Arial" w:cs="Arial"/>
              </w:rPr>
              <w:t>After t</w:t>
            </w:r>
            <w:r w:rsidRPr="00E93BA4">
              <w:rPr>
                <w:rFonts w:ascii="Arial" w:hAnsi="Arial" w:cs="Arial"/>
              </w:rPr>
              <w:t xml:space="preserve">he detailed designs for the Centre </w:t>
            </w:r>
            <w:r>
              <w:rPr>
                <w:rFonts w:ascii="Arial" w:hAnsi="Arial" w:cs="Arial"/>
              </w:rPr>
              <w:t>had</w:t>
            </w:r>
            <w:r w:rsidRPr="00E93BA4">
              <w:rPr>
                <w:rFonts w:ascii="Arial" w:hAnsi="Arial" w:cs="Arial"/>
              </w:rPr>
              <w:t xml:space="preserve"> complete</w:t>
            </w:r>
            <w:r>
              <w:rPr>
                <w:rFonts w:ascii="Arial" w:hAnsi="Arial" w:cs="Arial"/>
              </w:rPr>
              <w:t>d</w:t>
            </w:r>
            <w:r w:rsidRPr="00E93BA4">
              <w:rPr>
                <w:rFonts w:ascii="Arial" w:hAnsi="Arial" w:cs="Arial"/>
              </w:rPr>
              <w:t xml:space="preserve"> and tenders ha</w:t>
            </w:r>
            <w:r>
              <w:rPr>
                <w:rFonts w:ascii="Arial" w:hAnsi="Arial" w:cs="Arial"/>
              </w:rPr>
              <w:t>d</w:t>
            </w:r>
            <w:r w:rsidRPr="00E93BA4">
              <w:rPr>
                <w:rFonts w:ascii="Arial" w:hAnsi="Arial" w:cs="Arial"/>
              </w:rPr>
              <w:t xml:space="preserve"> been received</w:t>
            </w:r>
            <w:r>
              <w:rPr>
                <w:rFonts w:ascii="Arial" w:hAnsi="Arial" w:cs="Arial"/>
              </w:rPr>
              <w:t>,</w:t>
            </w:r>
            <w:r w:rsidRPr="00E93BA4">
              <w:rPr>
                <w:rFonts w:ascii="Arial" w:hAnsi="Arial" w:cs="Arial"/>
              </w:rPr>
              <w:t xml:space="preserve"> the build costs increased significantly</w:t>
            </w:r>
            <w:r>
              <w:rPr>
                <w:rFonts w:ascii="Arial" w:hAnsi="Arial" w:cs="Arial"/>
              </w:rPr>
              <w:t xml:space="preserve">. The project therefore required a decision on which of the two proposed options </w:t>
            </w:r>
            <w:r w:rsidR="00591FED">
              <w:rPr>
                <w:rFonts w:ascii="Arial" w:hAnsi="Arial" w:cs="Arial"/>
              </w:rPr>
              <w:t xml:space="preserve">(to increase GD allocation or to reallocate from equipment budget) </w:t>
            </w:r>
            <w:r>
              <w:rPr>
                <w:rFonts w:ascii="Arial" w:hAnsi="Arial" w:cs="Arial"/>
              </w:rPr>
              <w:t>would be allowed to proceed to fill the gap.</w:t>
            </w:r>
          </w:p>
        </w:tc>
        <w:tc>
          <w:tcPr>
            <w:tcW w:w="3014" w:type="dxa"/>
            <w:vAlign w:val="center"/>
          </w:tcPr>
          <w:p w14:paraId="6A05DC1D" w14:textId="51325150" w:rsidR="00EB6AF8" w:rsidRDefault="00E93BA4" w:rsidP="00E93BA4">
            <w:pPr>
              <w:rPr>
                <w:rFonts w:ascii="Arial" w:hAnsi="Arial" w:cs="Arial"/>
              </w:rPr>
            </w:pPr>
            <w:r w:rsidRPr="00E93BA4">
              <w:rPr>
                <w:rFonts w:ascii="Arial" w:hAnsi="Arial" w:cs="Arial"/>
              </w:rPr>
              <w:t xml:space="preserve">SIP </w:t>
            </w:r>
            <w:r w:rsidR="00591FED">
              <w:rPr>
                <w:rFonts w:ascii="Arial" w:hAnsi="Arial" w:cs="Arial"/>
              </w:rPr>
              <w:t xml:space="preserve">members </w:t>
            </w:r>
            <w:r w:rsidRPr="00E93BA4">
              <w:rPr>
                <w:rFonts w:ascii="Arial" w:hAnsi="Arial" w:cs="Arial"/>
              </w:rPr>
              <w:t xml:space="preserve">agreed that Option 1 was not viable and that they would approve Option 2. </w:t>
            </w:r>
            <w:r w:rsidR="00591FED">
              <w:rPr>
                <w:rFonts w:ascii="Arial" w:hAnsi="Arial" w:cs="Arial"/>
              </w:rPr>
              <w:t>T</w:t>
            </w:r>
            <w:r w:rsidRPr="00E93BA4">
              <w:rPr>
                <w:rFonts w:ascii="Arial" w:hAnsi="Arial" w:cs="Arial"/>
              </w:rPr>
              <w:t xml:space="preserve">he project has a high degree of confidence that the gap left in the equipment budget from the reallocation will be filled by either the private sector and/or other </w:t>
            </w:r>
            <w:proofErr w:type="gramStart"/>
            <w:r w:rsidRPr="00E93BA4">
              <w:rPr>
                <w:rFonts w:ascii="Arial" w:hAnsi="Arial" w:cs="Arial"/>
              </w:rPr>
              <w:t>public sector</w:t>
            </w:r>
            <w:proofErr w:type="gramEnd"/>
            <w:r w:rsidRPr="00E93BA4">
              <w:rPr>
                <w:rFonts w:ascii="Arial" w:hAnsi="Arial" w:cs="Arial"/>
              </w:rPr>
              <w:t xml:space="preserve"> funds.</w:t>
            </w:r>
          </w:p>
        </w:tc>
      </w:tr>
      <w:tr w:rsidR="00EB6AF8" w14:paraId="13E0A7D9" w14:textId="77777777" w:rsidTr="00751ABF">
        <w:tc>
          <w:tcPr>
            <w:tcW w:w="2263" w:type="dxa"/>
            <w:vAlign w:val="center"/>
          </w:tcPr>
          <w:p w14:paraId="2BC10529" w14:textId="790F98BD" w:rsidR="00EB6AF8" w:rsidRDefault="00751ABF" w:rsidP="00751ABF">
            <w:pPr>
              <w:rPr>
                <w:rFonts w:ascii="Arial" w:hAnsi="Arial" w:cs="Arial"/>
              </w:rPr>
            </w:pPr>
            <w:r w:rsidRPr="00751ABF">
              <w:rPr>
                <w:rFonts w:ascii="Arial" w:hAnsi="Arial" w:cs="Arial"/>
              </w:rPr>
              <w:t>Marsh Barton Update</w:t>
            </w:r>
          </w:p>
        </w:tc>
        <w:tc>
          <w:tcPr>
            <w:tcW w:w="3777" w:type="dxa"/>
            <w:vAlign w:val="center"/>
          </w:tcPr>
          <w:p w14:paraId="26EFD0DC" w14:textId="760FBC95" w:rsidR="00EB6AF8" w:rsidRDefault="00751ABF" w:rsidP="00751ABF">
            <w:pPr>
              <w:rPr>
                <w:rFonts w:ascii="Arial" w:hAnsi="Arial" w:cs="Arial"/>
              </w:rPr>
            </w:pPr>
            <w:r>
              <w:rPr>
                <w:rFonts w:ascii="Arial" w:hAnsi="Arial" w:cs="Arial"/>
              </w:rPr>
              <w:t xml:space="preserve">SIP was asked </w:t>
            </w:r>
            <w:r w:rsidR="00591FED">
              <w:rPr>
                <w:rFonts w:ascii="Arial" w:hAnsi="Arial" w:cs="Arial"/>
              </w:rPr>
              <w:t>to discuss and endorse</w:t>
            </w:r>
            <w:r>
              <w:rPr>
                <w:rFonts w:ascii="Arial" w:hAnsi="Arial" w:cs="Arial"/>
              </w:rPr>
              <w:t xml:space="preserve"> the </w:t>
            </w:r>
            <w:r w:rsidR="00591FED">
              <w:rPr>
                <w:rFonts w:ascii="Arial" w:hAnsi="Arial" w:cs="Arial"/>
              </w:rPr>
              <w:t xml:space="preserve">recommendations </w:t>
            </w:r>
            <w:r>
              <w:rPr>
                <w:rFonts w:ascii="Arial" w:hAnsi="Arial" w:cs="Arial"/>
              </w:rPr>
              <w:t>in the paper.</w:t>
            </w:r>
            <w:r w:rsidR="00591FED">
              <w:rPr>
                <w:rFonts w:ascii="Arial" w:hAnsi="Arial" w:cs="Arial"/>
              </w:rPr>
              <w:t xml:space="preserve"> </w:t>
            </w:r>
          </w:p>
        </w:tc>
        <w:tc>
          <w:tcPr>
            <w:tcW w:w="3014" w:type="dxa"/>
            <w:vAlign w:val="center"/>
          </w:tcPr>
          <w:p w14:paraId="592C4F07" w14:textId="1A648599" w:rsidR="00EB6AF8" w:rsidRDefault="00591FED" w:rsidP="00751ABF">
            <w:pPr>
              <w:rPr>
                <w:rFonts w:ascii="Arial" w:hAnsi="Arial" w:cs="Arial"/>
              </w:rPr>
            </w:pPr>
            <w:r w:rsidRPr="00751ABF">
              <w:rPr>
                <w:rFonts w:ascii="Arial" w:hAnsi="Arial" w:cs="Arial"/>
              </w:rPr>
              <w:t xml:space="preserve">SIP raised concerns around underspend </w:t>
            </w:r>
            <w:r>
              <w:rPr>
                <w:rFonts w:ascii="Arial" w:hAnsi="Arial" w:cs="Arial"/>
              </w:rPr>
              <w:t xml:space="preserve">from other schemes </w:t>
            </w:r>
            <w:r w:rsidRPr="00751ABF">
              <w:rPr>
                <w:rFonts w:ascii="Arial" w:hAnsi="Arial" w:cs="Arial"/>
              </w:rPr>
              <w:t>being reallocated to Marsh Barton, given that current</w:t>
            </w:r>
            <w:r>
              <w:rPr>
                <w:rFonts w:ascii="Arial" w:hAnsi="Arial" w:cs="Arial"/>
              </w:rPr>
              <w:t xml:space="preserve"> </w:t>
            </w:r>
            <w:r w:rsidRPr="00751ABF">
              <w:rPr>
                <w:rFonts w:ascii="Arial" w:hAnsi="Arial" w:cs="Arial"/>
              </w:rPr>
              <w:t>policy specified any underspend was to be reallocated to Unlocking Growth Fund. There was also concern about how such a decision would be viewed, given previous decisions. It was agreed however that there were clear differences which justified reallocation</w:t>
            </w:r>
            <w:r>
              <w:rPr>
                <w:rFonts w:ascii="Arial" w:hAnsi="Arial" w:cs="Arial"/>
              </w:rPr>
              <w:t xml:space="preserve">. Paper </w:t>
            </w:r>
            <w:r w:rsidR="00725153">
              <w:rPr>
                <w:rFonts w:ascii="Arial" w:hAnsi="Arial" w:cs="Arial"/>
              </w:rPr>
              <w:t xml:space="preserve">on varying the LEP’s policy on underspend </w:t>
            </w:r>
            <w:r>
              <w:rPr>
                <w:rFonts w:ascii="Arial" w:hAnsi="Arial" w:cs="Arial"/>
              </w:rPr>
              <w:t>to go forward to Board for decision.</w:t>
            </w:r>
          </w:p>
        </w:tc>
      </w:tr>
    </w:tbl>
    <w:p w14:paraId="4330415B" w14:textId="77777777" w:rsidR="00EB6AF8" w:rsidRPr="00787EB1" w:rsidRDefault="00EB6AF8" w:rsidP="00EB6AF8">
      <w:pPr>
        <w:rPr>
          <w:rFonts w:ascii="Arial" w:hAnsi="Arial" w:cs="Arial"/>
        </w:rPr>
      </w:pPr>
    </w:p>
    <w:p w14:paraId="20B69BFC" w14:textId="77777777" w:rsidR="00EB6AF8" w:rsidRDefault="00EB6AF8" w:rsidP="00712F1E">
      <w:pPr>
        <w:rPr>
          <w:rFonts w:ascii="Calibri" w:hAnsi="Calibri"/>
        </w:rPr>
      </w:pPr>
    </w:p>
    <w:sectPr w:rsidR="00EB6AF8" w:rsidSect="004A0176">
      <w:headerReference w:type="even" r:id="rId11"/>
      <w:headerReference w:type="default" r:id="rId12"/>
      <w:footerReference w:type="even" r:id="rId13"/>
      <w:footerReference w:type="default" r:id="rId14"/>
      <w:headerReference w:type="first" r:id="rId15"/>
      <w:footerReference w:type="first" r:id="rId16"/>
      <w:pgSz w:w="11900" w:h="16840"/>
      <w:pgMar w:top="175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641FD" w14:textId="77777777" w:rsidR="00B415F5" w:rsidRDefault="00B415F5" w:rsidP="006A3EA6">
      <w:r>
        <w:separator/>
      </w:r>
    </w:p>
  </w:endnote>
  <w:endnote w:type="continuationSeparator" w:id="0">
    <w:p w14:paraId="6B997222" w14:textId="77777777" w:rsidR="00B415F5" w:rsidRDefault="00B415F5" w:rsidP="006A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8213" w14:textId="77777777" w:rsidR="00CA182F" w:rsidRDefault="00CA1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4F39" w14:textId="24CF7294" w:rsidR="006A3EA6" w:rsidRPr="00AC08C5" w:rsidRDefault="00AC08C5">
    <w:pPr>
      <w:pStyle w:val="Footer"/>
      <w:rPr>
        <w:lang w:val="en-GB"/>
      </w:rPr>
    </w:pPr>
    <w:r>
      <w:rPr>
        <w:lang w:val="en-GB"/>
      </w:rPr>
      <w:t xml:space="preserve">                                                                                  </w:t>
    </w:r>
    <w:r>
      <w:rPr>
        <w:lang w:val="en-GB"/>
      </w:rPr>
      <w:fldChar w:fldCharType="begin"/>
    </w:r>
    <w:r>
      <w:rPr>
        <w:lang w:val="en-GB"/>
      </w:rPr>
      <w:instrText xml:space="preserve"> PAGE  \* Arabic  \* MERGEFORMAT </w:instrText>
    </w:r>
    <w:r>
      <w:rPr>
        <w:lang w:val="en-GB"/>
      </w:rPr>
      <w:fldChar w:fldCharType="separate"/>
    </w:r>
    <w:r w:rsidR="000B0BCC">
      <w:rPr>
        <w:noProof/>
        <w:lang w:val="en-GB"/>
      </w:rPr>
      <w:t>5</w:t>
    </w:r>
    <w:r>
      <w:rP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1015" w14:textId="77777777" w:rsidR="00CA182F" w:rsidRDefault="00CA1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F3B5A" w14:textId="77777777" w:rsidR="00B415F5" w:rsidRDefault="00B415F5" w:rsidP="006A3EA6">
      <w:r>
        <w:separator/>
      </w:r>
    </w:p>
  </w:footnote>
  <w:footnote w:type="continuationSeparator" w:id="0">
    <w:p w14:paraId="64FD9025" w14:textId="77777777" w:rsidR="00B415F5" w:rsidRDefault="00B415F5" w:rsidP="006A3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8D58" w14:textId="77777777" w:rsidR="00CA182F" w:rsidRDefault="00CA1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9427" w14:textId="67FF6E2F" w:rsidR="006A3EA6" w:rsidRPr="006A3EA6" w:rsidRDefault="000B0BCC" w:rsidP="006A3EA6">
    <w:pPr>
      <w:pStyle w:val="Header"/>
    </w:pPr>
    <w:sdt>
      <w:sdtPr>
        <w:id w:val="1898782274"/>
        <w:docPartObj>
          <w:docPartGallery w:val="Watermarks"/>
          <w:docPartUnique/>
        </w:docPartObj>
      </w:sdtPr>
      <w:sdtEndPr/>
      <w:sdtContent>
        <w:r>
          <w:rPr>
            <w:noProof/>
          </w:rPr>
          <w:pict w14:anchorId="1ED8E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A3EA6">
      <w:rPr>
        <w:noProof/>
        <w:lang w:val="en-GB" w:eastAsia="en-GB"/>
      </w:rPr>
      <w:drawing>
        <wp:anchor distT="0" distB="0" distL="114300" distR="114300" simplePos="0" relativeHeight="251657216" behindDoc="1" locked="0" layoutInCell="1" allowOverlap="1" wp14:anchorId="0065D452" wp14:editId="5D8EF6C6">
          <wp:simplePos x="0" y="0"/>
          <wp:positionH relativeFrom="column">
            <wp:posOffset>3625509</wp:posOffset>
          </wp:positionH>
          <wp:positionV relativeFrom="paragraph">
            <wp:posOffset>-226060</wp:posOffset>
          </wp:positionV>
          <wp:extent cx="2478952" cy="845164"/>
          <wp:effectExtent l="0" t="0" r="10795" b="0"/>
          <wp:wrapNone/>
          <wp:docPr id="9" name="Picture 9" descr="H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952" cy="8451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96AD" w14:textId="77777777" w:rsidR="00CA182F" w:rsidRDefault="00CA1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15E"/>
    <w:multiLevelType w:val="hybridMultilevel"/>
    <w:tmpl w:val="C46C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F4888"/>
    <w:multiLevelType w:val="multilevel"/>
    <w:tmpl w:val="16843314"/>
    <w:lvl w:ilvl="0">
      <w:start w:val="1"/>
      <w:numFmt w:val="decimal"/>
      <w:lvlText w:val="%1."/>
      <w:lvlJc w:val="left"/>
      <w:pPr>
        <w:ind w:left="720" w:hanging="360"/>
      </w:pPr>
      <w:rPr>
        <w:rFonts w:hint="default"/>
        <w:b/>
      </w:rPr>
    </w:lvl>
    <w:lvl w:ilvl="1">
      <w:start w:val="1"/>
      <w:numFmt w:val="decimal"/>
      <w:isLgl/>
      <w:lvlText w:val="%1.%2"/>
      <w:lvlJc w:val="left"/>
      <w:pPr>
        <w:ind w:left="50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8269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4C4A07"/>
    <w:multiLevelType w:val="hybridMultilevel"/>
    <w:tmpl w:val="6376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72FF0"/>
    <w:multiLevelType w:val="hybridMultilevel"/>
    <w:tmpl w:val="B0F2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636E9"/>
    <w:multiLevelType w:val="hybridMultilevel"/>
    <w:tmpl w:val="8DEAA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CC4BCE"/>
    <w:multiLevelType w:val="hybridMultilevel"/>
    <w:tmpl w:val="D55251E4"/>
    <w:lvl w:ilvl="0" w:tplc="F928FD90">
      <w:start w:val="1"/>
      <w:numFmt w:val="bullet"/>
      <w:lvlText w:val="•"/>
      <w:lvlJc w:val="left"/>
      <w:pPr>
        <w:tabs>
          <w:tab w:val="num" w:pos="720"/>
        </w:tabs>
        <w:ind w:left="720" w:hanging="360"/>
      </w:pPr>
      <w:rPr>
        <w:rFonts w:ascii="Arial" w:hAnsi="Arial" w:hint="default"/>
      </w:rPr>
    </w:lvl>
    <w:lvl w:ilvl="1" w:tplc="335A55FC" w:tentative="1">
      <w:start w:val="1"/>
      <w:numFmt w:val="bullet"/>
      <w:lvlText w:val="•"/>
      <w:lvlJc w:val="left"/>
      <w:pPr>
        <w:tabs>
          <w:tab w:val="num" w:pos="1440"/>
        </w:tabs>
        <w:ind w:left="1440" w:hanging="360"/>
      </w:pPr>
      <w:rPr>
        <w:rFonts w:ascii="Arial" w:hAnsi="Arial" w:hint="default"/>
      </w:rPr>
    </w:lvl>
    <w:lvl w:ilvl="2" w:tplc="07209DB2" w:tentative="1">
      <w:start w:val="1"/>
      <w:numFmt w:val="bullet"/>
      <w:lvlText w:val="•"/>
      <w:lvlJc w:val="left"/>
      <w:pPr>
        <w:tabs>
          <w:tab w:val="num" w:pos="2160"/>
        </w:tabs>
        <w:ind w:left="2160" w:hanging="360"/>
      </w:pPr>
      <w:rPr>
        <w:rFonts w:ascii="Arial" w:hAnsi="Arial" w:hint="default"/>
      </w:rPr>
    </w:lvl>
    <w:lvl w:ilvl="3" w:tplc="2670DAAE" w:tentative="1">
      <w:start w:val="1"/>
      <w:numFmt w:val="bullet"/>
      <w:lvlText w:val="•"/>
      <w:lvlJc w:val="left"/>
      <w:pPr>
        <w:tabs>
          <w:tab w:val="num" w:pos="2880"/>
        </w:tabs>
        <w:ind w:left="2880" w:hanging="360"/>
      </w:pPr>
      <w:rPr>
        <w:rFonts w:ascii="Arial" w:hAnsi="Arial" w:hint="default"/>
      </w:rPr>
    </w:lvl>
    <w:lvl w:ilvl="4" w:tplc="EA94EF32" w:tentative="1">
      <w:start w:val="1"/>
      <w:numFmt w:val="bullet"/>
      <w:lvlText w:val="•"/>
      <w:lvlJc w:val="left"/>
      <w:pPr>
        <w:tabs>
          <w:tab w:val="num" w:pos="3600"/>
        </w:tabs>
        <w:ind w:left="3600" w:hanging="360"/>
      </w:pPr>
      <w:rPr>
        <w:rFonts w:ascii="Arial" w:hAnsi="Arial" w:hint="default"/>
      </w:rPr>
    </w:lvl>
    <w:lvl w:ilvl="5" w:tplc="D5CED9B6" w:tentative="1">
      <w:start w:val="1"/>
      <w:numFmt w:val="bullet"/>
      <w:lvlText w:val="•"/>
      <w:lvlJc w:val="left"/>
      <w:pPr>
        <w:tabs>
          <w:tab w:val="num" w:pos="4320"/>
        </w:tabs>
        <w:ind w:left="4320" w:hanging="360"/>
      </w:pPr>
      <w:rPr>
        <w:rFonts w:ascii="Arial" w:hAnsi="Arial" w:hint="default"/>
      </w:rPr>
    </w:lvl>
    <w:lvl w:ilvl="6" w:tplc="BF828340" w:tentative="1">
      <w:start w:val="1"/>
      <w:numFmt w:val="bullet"/>
      <w:lvlText w:val="•"/>
      <w:lvlJc w:val="left"/>
      <w:pPr>
        <w:tabs>
          <w:tab w:val="num" w:pos="5040"/>
        </w:tabs>
        <w:ind w:left="5040" w:hanging="360"/>
      </w:pPr>
      <w:rPr>
        <w:rFonts w:ascii="Arial" w:hAnsi="Arial" w:hint="default"/>
      </w:rPr>
    </w:lvl>
    <w:lvl w:ilvl="7" w:tplc="9D46EE74" w:tentative="1">
      <w:start w:val="1"/>
      <w:numFmt w:val="bullet"/>
      <w:lvlText w:val="•"/>
      <w:lvlJc w:val="left"/>
      <w:pPr>
        <w:tabs>
          <w:tab w:val="num" w:pos="5760"/>
        </w:tabs>
        <w:ind w:left="5760" w:hanging="360"/>
      </w:pPr>
      <w:rPr>
        <w:rFonts w:ascii="Arial" w:hAnsi="Arial" w:hint="default"/>
      </w:rPr>
    </w:lvl>
    <w:lvl w:ilvl="8" w:tplc="824E51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71456F"/>
    <w:multiLevelType w:val="hybridMultilevel"/>
    <w:tmpl w:val="D8A25CA2"/>
    <w:lvl w:ilvl="0" w:tplc="115677E8">
      <w:start w:val="1"/>
      <w:numFmt w:val="bullet"/>
      <w:lvlText w:val="•"/>
      <w:lvlJc w:val="left"/>
      <w:pPr>
        <w:tabs>
          <w:tab w:val="num" w:pos="720"/>
        </w:tabs>
        <w:ind w:left="720" w:hanging="360"/>
      </w:pPr>
      <w:rPr>
        <w:rFonts w:ascii="Arial" w:hAnsi="Arial" w:hint="default"/>
      </w:rPr>
    </w:lvl>
    <w:lvl w:ilvl="1" w:tplc="9B44EDEC">
      <w:numFmt w:val="bullet"/>
      <w:lvlText w:val="−"/>
      <w:lvlJc w:val="left"/>
      <w:pPr>
        <w:tabs>
          <w:tab w:val="num" w:pos="1440"/>
        </w:tabs>
        <w:ind w:left="1440" w:hanging="360"/>
      </w:pPr>
      <w:rPr>
        <w:rFonts w:ascii="Arial" w:hAnsi="Arial" w:hint="default"/>
      </w:rPr>
    </w:lvl>
    <w:lvl w:ilvl="2" w:tplc="3E407172" w:tentative="1">
      <w:start w:val="1"/>
      <w:numFmt w:val="bullet"/>
      <w:lvlText w:val="•"/>
      <w:lvlJc w:val="left"/>
      <w:pPr>
        <w:tabs>
          <w:tab w:val="num" w:pos="2160"/>
        </w:tabs>
        <w:ind w:left="2160" w:hanging="360"/>
      </w:pPr>
      <w:rPr>
        <w:rFonts w:ascii="Arial" w:hAnsi="Arial" w:hint="default"/>
      </w:rPr>
    </w:lvl>
    <w:lvl w:ilvl="3" w:tplc="A41AF2F0" w:tentative="1">
      <w:start w:val="1"/>
      <w:numFmt w:val="bullet"/>
      <w:lvlText w:val="•"/>
      <w:lvlJc w:val="left"/>
      <w:pPr>
        <w:tabs>
          <w:tab w:val="num" w:pos="2880"/>
        </w:tabs>
        <w:ind w:left="2880" w:hanging="360"/>
      </w:pPr>
      <w:rPr>
        <w:rFonts w:ascii="Arial" w:hAnsi="Arial" w:hint="default"/>
      </w:rPr>
    </w:lvl>
    <w:lvl w:ilvl="4" w:tplc="74A8ECEA" w:tentative="1">
      <w:start w:val="1"/>
      <w:numFmt w:val="bullet"/>
      <w:lvlText w:val="•"/>
      <w:lvlJc w:val="left"/>
      <w:pPr>
        <w:tabs>
          <w:tab w:val="num" w:pos="3600"/>
        </w:tabs>
        <w:ind w:left="3600" w:hanging="360"/>
      </w:pPr>
      <w:rPr>
        <w:rFonts w:ascii="Arial" w:hAnsi="Arial" w:hint="default"/>
      </w:rPr>
    </w:lvl>
    <w:lvl w:ilvl="5" w:tplc="8F5A012A" w:tentative="1">
      <w:start w:val="1"/>
      <w:numFmt w:val="bullet"/>
      <w:lvlText w:val="•"/>
      <w:lvlJc w:val="left"/>
      <w:pPr>
        <w:tabs>
          <w:tab w:val="num" w:pos="4320"/>
        </w:tabs>
        <w:ind w:left="4320" w:hanging="360"/>
      </w:pPr>
      <w:rPr>
        <w:rFonts w:ascii="Arial" w:hAnsi="Arial" w:hint="default"/>
      </w:rPr>
    </w:lvl>
    <w:lvl w:ilvl="6" w:tplc="1EE45220" w:tentative="1">
      <w:start w:val="1"/>
      <w:numFmt w:val="bullet"/>
      <w:lvlText w:val="•"/>
      <w:lvlJc w:val="left"/>
      <w:pPr>
        <w:tabs>
          <w:tab w:val="num" w:pos="5040"/>
        </w:tabs>
        <w:ind w:left="5040" w:hanging="360"/>
      </w:pPr>
      <w:rPr>
        <w:rFonts w:ascii="Arial" w:hAnsi="Arial" w:hint="default"/>
      </w:rPr>
    </w:lvl>
    <w:lvl w:ilvl="7" w:tplc="06647298" w:tentative="1">
      <w:start w:val="1"/>
      <w:numFmt w:val="bullet"/>
      <w:lvlText w:val="•"/>
      <w:lvlJc w:val="left"/>
      <w:pPr>
        <w:tabs>
          <w:tab w:val="num" w:pos="5760"/>
        </w:tabs>
        <w:ind w:left="5760" w:hanging="360"/>
      </w:pPr>
      <w:rPr>
        <w:rFonts w:ascii="Arial" w:hAnsi="Arial" w:hint="default"/>
      </w:rPr>
    </w:lvl>
    <w:lvl w:ilvl="8" w:tplc="ABD0DC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E57BD9"/>
    <w:multiLevelType w:val="multilevel"/>
    <w:tmpl w:val="05B43F86"/>
    <w:lvl w:ilvl="0">
      <w:start w:val="5"/>
      <w:numFmt w:val="decimal"/>
      <w:lvlText w:val="%1"/>
      <w:lvlJc w:val="left"/>
      <w:pPr>
        <w:ind w:left="360" w:hanging="360"/>
      </w:pPr>
      <w:rPr>
        <w:rFonts w:hint="default"/>
        <w:u w:val="singl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46F97CB0"/>
    <w:multiLevelType w:val="multilevel"/>
    <w:tmpl w:val="38C8E040"/>
    <w:lvl w:ilvl="0">
      <w:start w:val="1"/>
      <w:numFmt w:val="decimal"/>
      <w:lvlText w:val="%1."/>
      <w:lvlJc w:val="left"/>
      <w:pPr>
        <w:ind w:left="720" w:hanging="360"/>
      </w:pPr>
      <w:rPr>
        <w:rFonts w:hint="default"/>
        <w:b/>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3A30C5"/>
    <w:multiLevelType w:val="hybridMultilevel"/>
    <w:tmpl w:val="5EF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C16E0"/>
    <w:multiLevelType w:val="hybridMultilevel"/>
    <w:tmpl w:val="AA086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1E40CD"/>
    <w:multiLevelType w:val="hybridMultilevel"/>
    <w:tmpl w:val="82E04210"/>
    <w:lvl w:ilvl="0" w:tplc="C0F29756">
      <w:start w:val="1"/>
      <w:numFmt w:val="bullet"/>
      <w:lvlText w:val="•"/>
      <w:lvlJc w:val="left"/>
      <w:pPr>
        <w:tabs>
          <w:tab w:val="num" w:pos="720"/>
        </w:tabs>
        <w:ind w:left="720" w:hanging="360"/>
      </w:pPr>
      <w:rPr>
        <w:rFonts w:ascii="Arial" w:hAnsi="Arial" w:hint="default"/>
      </w:rPr>
    </w:lvl>
    <w:lvl w:ilvl="1" w:tplc="52CE0CE0" w:tentative="1">
      <w:start w:val="1"/>
      <w:numFmt w:val="bullet"/>
      <w:lvlText w:val="•"/>
      <w:lvlJc w:val="left"/>
      <w:pPr>
        <w:tabs>
          <w:tab w:val="num" w:pos="1440"/>
        </w:tabs>
        <w:ind w:left="1440" w:hanging="360"/>
      </w:pPr>
      <w:rPr>
        <w:rFonts w:ascii="Arial" w:hAnsi="Arial" w:hint="default"/>
      </w:rPr>
    </w:lvl>
    <w:lvl w:ilvl="2" w:tplc="6262DD4E" w:tentative="1">
      <w:start w:val="1"/>
      <w:numFmt w:val="bullet"/>
      <w:lvlText w:val="•"/>
      <w:lvlJc w:val="left"/>
      <w:pPr>
        <w:tabs>
          <w:tab w:val="num" w:pos="2160"/>
        </w:tabs>
        <w:ind w:left="2160" w:hanging="360"/>
      </w:pPr>
      <w:rPr>
        <w:rFonts w:ascii="Arial" w:hAnsi="Arial" w:hint="default"/>
      </w:rPr>
    </w:lvl>
    <w:lvl w:ilvl="3" w:tplc="B8FAD12A" w:tentative="1">
      <w:start w:val="1"/>
      <w:numFmt w:val="bullet"/>
      <w:lvlText w:val="•"/>
      <w:lvlJc w:val="left"/>
      <w:pPr>
        <w:tabs>
          <w:tab w:val="num" w:pos="2880"/>
        </w:tabs>
        <w:ind w:left="2880" w:hanging="360"/>
      </w:pPr>
      <w:rPr>
        <w:rFonts w:ascii="Arial" w:hAnsi="Arial" w:hint="default"/>
      </w:rPr>
    </w:lvl>
    <w:lvl w:ilvl="4" w:tplc="E1760492" w:tentative="1">
      <w:start w:val="1"/>
      <w:numFmt w:val="bullet"/>
      <w:lvlText w:val="•"/>
      <w:lvlJc w:val="left"/>
      <w:pPr>
        <w:tabs>
          <w:tab w:val="num" w:pos="3600"/>
        </w:tabs>
        <w:ind w:left="3600" w:hanging="360"/>
      </w:pPr>
      <w:rPr>
        <w:rFonts w:ascii="Arial" w:hAnsi="Arial" w:hint="default"/>
      </w:rPr>
    </w:lvl>
    <w:lvl w:ilvl="5" w:tplc="99003F48" w:tentative="1">
      <w:start w:val="1"/>
      <w:numFmt w:val="bullet"/>
      <w:lvlText w:val="•"/>
      <w:lvlJc w:val="left"/>
      <w:pPr>
        <w:tabs>
          <w:tab w:val="num" w:pos="4320"/>
        </w:tabs>
        <w:ind w:left="4320" w:hanging="360"/>
      </w:pPr>
      <w:rPr>
        <w:rFonts w:ascii="Arial" w:hAnsi="Arial" w:hint="default"/>
      </w:rPr>
    </w:lvl>
    <w:lvl w:ilvl="6" w:tplc="100862C0" w:tentative="1">
      <w:start w:val="1"/>
      <w:numFmt w:val="bullet"/>
      <w:lvlText w:val="•"/>
      <w:lvlJc w:val="left"/>
      <w:pPr>
        <w:tabs>
          <w:tab w:val="num" w:pos="5040"/>
        </w:tabs>
        <w:ind w:left="5040" w:hanging="360"/>
      </w:pPr>
      <w:rPr>
        <w:rFonts w:ascii="Arial" w:hAnsi="Arial" w:hint="default"/>
      </w:rPr>
    </w:lvl>
    <w:lvl w:ilvl="7" w:tplc="D8909844" w:tentative="1">
      <w:start w:val="1"/>
      <w:numFmt w:val="bullet"/>
      <w:lvlText w:val="•"/>
      <w:lvlJc w:val="left"/>
      <w:pPr>
        <w:tabs>
          <w:tab w:val="num" w:pos="5760"/>
        </w:tabs>
        <w:ind w:left="5760" w:hanging="360"/>
      </w:pPr>
      <w:rPr>
        <w:rFonts w:ascii="Arial" w:hAnsi="Arial" w:hint="default"/>
      </w:rPr>
    </w:lvl>
    <w:lvl w:ilvl="8" w:tplc="EE0275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C65595"/>
    <w:multiLevelType w:val="hybridMultilevel"/>
    <w:tmpl w:val="1B72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B66F4"/>
    <w:multiLevelType w:val="hybridMultilevel"/>
    <w:tmpl w:val="C032D7B2"/>
    <w:lvl w:ilvl="0" w:tplc="6868E7FE">
      <w:start w:val="1"/>
      <w:numFmt w:val="bullet"/>
      <w:lvlText w:val="•"/>
      <w:lvlJc w:val="left"/>
      <w:pPr>
        <w:tabs>
          <w:tab w:val="num" w:pos="720"/>
        </w:tabs>
        <w:ind w:left="720" w:hanging="360"/>
      </w:pPr>
      <w:rPr>
        <w:rFonts w:ascii="Arial" w:hAnsi="Arial" w:hint="default"/>
      </w:rPr>
    </w:lvl>
    <w:lvl w:ilvl="1" w:tplc="AECC4912" w:tentative="1">
      <w:start w:val="1"/>
      <w:numFmt w:val="bullet"/>
      <w:lvlText w:val="•"/>
      <w:lvlJc w:val="left"/>
      <w:pPr>
        <w:tabs>
          <w:tab w:val="num" w:pos="1440"/>
        </w:tabs>
        <w:ind w:left="1440" w:hanging="360"/>
      </w:pPr>
      <w:rPr>
        <w:rFonts w:ascii="Arial" w:hAnsi="Arial" w:hint="default"/>
      </w:rPr>
    </w:lvl>
    <w:lvl w:ilvl="2" w:tplc="A16C2C0C" w:tentative="1">
      <w:start w:val="1"/>
      <w:numFmt w:val="bullet"/>
      <w:lvlText w:val="•"/>
      <w:lvlJc w:val="left"/>
      <w:pPr>
        <w:tabs>
          <w:tab w:val="num" w:pos="2160"/>
        </w:tabs>
        <w:ind w:left="2160" w:hanging="360"/>
      </w:pPr>
      <w:rPr>
        <w:rFonts w:ascii="Arial" w:hAnsi="Arial" w:hint="default"/>
      </w:rPr>
    </w:lvl>
    <w:lvl w:ilvl="3" w:tplc="32D691F8" w:tentative="1">
      <w:start w:val="1"/>
      <w:numFmt w:val="bullet"/>
      <w:lvlText w:val="•"/>
      <w:lvlJc w:val="left"/>
      <w:pPr>
        <w:tabs>
          <w:tab w:val="num" w:pos="2880"/>
        </w:tabs>
        <w:ind w:left="2880" w:hanging="360"/>
      </w:pPr>
      <w:rPr>
        <w:rFonts w:ascii="Arial" w:hAnsi="Arial" w:hint="default"/>
      </w:rPr>
    </w:lvl>
    <w:lvl w:ilvl="4" w:tplc="68AE4BC6" w:tentative="1">
      <w:start w:val="1"/>
      <w:numFmt w:val="bullet"/>
      <w:lvlText w:val="•"/>
      <w:lvlJc w:val="left"/>
      <w:pPr>
        <w:tabs>
          <w:tab w:val="num" w:pos="3600"/>
        </w:tabs>
        <w:ind w:left="3600" w:hanging="360"/>
      </w:pPr>
      <w:rPr>
        <w:rFonts w:ascii="Arial" w:hAnsi="Arial" w:hint="default"/>
      </w:rPr>
    </w:lvl>
    <w:lvl w:ilvl="5" w:tplc="6F1846F0" w:tentative="1">
      <w:start w:val="1"/>
      <w:numFmt w:val="bullet"/>
      <w:lvlText w:val="•"/>
      <w:lvlJc w:val="left"/>
      <w:pPr>
        <w:tabs>
          <w:tab w:val="num" w:pos="4320"/>
        </w:tabs>
        <w:ind w:left="4320" w:hanging="360"/>
      </w:pPr>
      <w:rPr>
        <w:rFonts w:ascii="Arial" w:hAnsi="Arial" w:hint="default"/>
      </w:rPr>
    </w:lvl>
    <w:lvl w:ilvl="6" w:tplc="C23AD6C8" w:tentative="1">
      <w:start w:val="1"/>
      <w:numFmt w:val="bullet"/>
      <w:lvlText w:val="•"/>
      <w:lvlJc w:val="left"/>
      <w:pPr>
        <w:tabs>
          <w:tab w:val="num" w:pos="5040"/>
        </w:tabs>
        <w:ind w:left="5040" w:hanging="360"/>
      </w:pPr>
      <w:rPr>
        <w:rFonts w:ascii="Arial" w:hAnsi="Arial" w:hint="default"/>
      </w:rPr>
    </w:lvl>
    <w:lvl w:ilvl="7" w:tplc="4B3A7AE0" w:tentative="1">
      <w:start w:val="1"/>
      <w:numFmt w:val="bullet"/>
      <w:lvlText w:val="•"/>
      <w:lvlJc w:val="left"/>
      <w:pPr>
        <w:tabs>
          <w:tab w:val="num" w:pos="5760"/>
        </w:tabs>
        <w:ind w:left="5760" w:hanging="360"/>
      </w:pPr>
      <w:rPr>
        <w:rFonts w:ascii="Arial" w:hAnsi="Arial" w:hint="default"/>
      </w:rPr>
    </w:lvl>
    <w:lvl w:ilvl="8" w:tplc="80D00B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5A2EE7"/>
    <w:multiLevelType w:val="hybridMultilevel"/>
    <w:tmpl w:val="0012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624DA"/>
    <w:multiLevelType w:val="multilevel"/>
    <w:tmpl w:val="1E286B40"/>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0"/>
  </w:num>
  <w:num w:numId="3">
    <w:abstractNumId w:val="1"/>
  </w:num>
  <w:num w:numId="4">
    <w:abstractNumId w:val="5"/>
  </w:num>
  <w:num w:numId="5">
    <w:abstractNumId w:val="16"/>
  </w:num>
  <w:num w:numId="6">
    <w:abstractNumId w:val="9"/>
  </w:num>
  <w:num w:numId="7">
    <w:abstractNumId w:val="13"/>
  </w:num>
  <w:num w:numId="8">
    <w:abstractNumId w:val="7"/>
  </w:num>
  <w:num w:numId="9">
    <w:abstractNumId w:val="6"/>
  </w:num>
  <w:num w:numId="10">
    <w:abstractNumId w:val="14"/>
  </w:num>
  <w:num w:numId="11">
    <w:abstractNumId w:val="12"/>
  </w:num>
  <w:num w:numId="12">
    <w:abstractNumId w:val="11"/>
  </w:num>
  <w:num w:numId="13">
    <w:abstractNumId w:val="4"/>
  </w:num>
  <w:num w:numId="14">
    <w:abstractNumId w:val="8"/>
  </w:num>
  <w:num w:numId="15">
    <w:abstractNumId w:val="0"/>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A6"/>
    <w:rsid w:val="0000257B"/>
    <w:rsid w:val="000036F5"/>
    <w:rsid w:val="00014268"/>
    <w:rsid w:val="00017D16"/>
    <w:rsid w:val="00042B95"/>
    <w:rsid w:val="000520B2"/>
    <w:rsid w:val="00057C88"/>
    <w:rsid w:val="00066F52"/>
    <w:rsid w:val="00081ABD"/>
    <w:rsid w:val="00086C49"/>
    <w:rsid w:val="000A4D65"/>
    <w:rsid w:val="000B0BCC"/>
    <w:rsid w:val="000F5F01"/>
    <w:rsid w:val="00112DD5"/>
    <w:rsid w:val="00113EAA"/>
    <w:rsid w:val="001554ED"/>
    <w:rsid w:val="0016115B"/>
    <w:rsid w:val="001741B4"/>
    <w:rsid w:val="0018421D"/>
    <w:rsid w:val="001904DE"/>
    <w:rsid w:val="001A339E"/>
    <w:rsid w:val="001A7495"/>
    <w:rsid w:val="002101AC"/>
    <w:rsid w:val="00216479"/>
    <w:rsid w:val="00252964"/>
    <w:rsid w:val="00265B67"/>
    <w:rsid w:val="002729D4"/>
    <w:rsid w:val="002757E8"/>
    <w:rsid w:val="002914F6"/>
    <w:rsid w:val="002A51E8"/>
    <w:rsid w:val="002A573B"/>
    <w:rsid w:val="002D57B3"/>
    <w:rsid w:val="002D5B96"/>
    <w:rsid w:val="00315E1D"/>
    <w:rsid w:val="00324E3F"/>
    <w:rsid w:val="003536B7"/>
    <w:rsid w:val="003A02D2"/>
    <w:rsid w:val="003A6ECC"/>
    <w:rsid w:val="003B2327"/>
    <w:rsid w:val="003B49DC"/>
    <w:rsid w:val="003C1A29"/>
    <w:rsid w:val="003C5D33"/>
    <w:rsid w:val="003D2D3D"/>
    <w:rsid w:val="003D46D6"/>
    <w:rsid w:val="003E342D"/>
    <w:rsid w:val="0041317A"/>
    <w:rsid w:val="004150E9"/>
    <w:rsid w:val="00440A45"/>
    <w:rsid w:val="0046091D"/>
    <w:rsid w:val="00467BDA"/>
    <w:rsid w:val="004746BD"/>
    <w:rsid w:val="00480A4D"/>
    <w:rsid w:val="004A0176"/>
    <w:rsid w:val="004A6C2F"/>
    <w:rsid w:val="004B228F"/>
    <w:rsid w:val="004B2A56"/>
    <w:rsid w:val="004E5898"/>
    <w:rsid w:val="004E6FA2"/>
    <w:rsid w:val="0050507C"/>
    <w:rsid w:val="00530DEC"/>
    <w:rsid w:val="0054198F"/>
    <w:rsid w:val="00551890"/>
    <w:rsid w:val="005528BA"/>
    <w:rsid w:val="00582875"/>
    <w:rsid w:val="00591FED"/>
    <w:rsid w:val="00597B87"/>
    <w:rsid w:val="005B131F"/>
    <w:rsid w:val="005F28AF"/>
    <w:rsid w:val="0060330B"/>
    <w:rsid w:val="006330B5"/>
    <w:rsid w:val="00634BC2"/>
    <w:rsid w:val="006756FF"/>
    <w:rsid w:val="006862C0"/>
    <w:rsid w:val="006A0897"/>
    <w:rsid w:val="006A236C"/>
    <w:rsid w:val="006A3EA6"/>
    <w:rsid w:val="006B2458"/>
    <w:rsid w:val="006C01F6"/>
    <w:rsid w:val="006D2F70"/>
    <w:rsid w:val="006F1415"/>
    <w:rsid w:val="006F3629"/>
    <w:rsid w:val="006F6081"/>
    <w:rsid w:val="007000F3"/>
    <w:rsid w:val="00712F1E"/>
    <w:rsid w:val="00725153"/>
    <w:rsid w:val="0073340A"/>
    <w:rsid w:val="00735525"/>
    <w:rsid w:val="007405C2"/>
    <w:rsid w:val="00740A2C"/>
    <w:rsid w:val="00751ABF"/>
    <w:rsid w:val="0075467C"/>
    <w:rsid w:val="007A1938"/>
    <w:rsid w:val="007E6913"/>
    <w:rsid w:val="007E7846"/>
    <w:rsid w:val="007F4266"/>
    <w:rsid w:val="007F6A80"/>
    <w:rsid w:val="00807EB3"/>
    <w:rsid w:val="00822126"/>
    <w:rsid w:val="0082502B"/>
    <w:rsid w:val="00836D99"/>
    <w:rsid w:val="00861211"/>
    <w:rsid w:val="0086137C"/>
    <w:rsid w:val="00896B82"/>
    <w:rsid w:val="008A599F"/>
    <w:rsid w:val="008B29F5"/>
    <w:rsid w:val="008E695C"/>
    <w:rsid w:val="008F6C4D"/>
    <w:rsid w:val="00907F32"/>
    <w:rsid w:val="00911C0A"/>
    <w:rsid w:val="009145FD"/>
    <w:rsid w:val="009162BB"/>
    <w:rsid w:val="00947E34"/>
    <w:rsid w:val="00962150"/>
    <w:rsid w:val="00964634"/>
    <w:rsid w:val="009966FC"/>
    <w:rsid w:val="00A05C99"/>
    <w:rsid w:val="00A3799F"/>
    <w:rsid w:val="00A42162"/>
    <w:rsid w:val="00A50BC4"/>
    <w:rsid w:val="00A55137"/>
    <w:rsid w:val="00A67B47"/>
    <w:rsid w:val="00A84C02"/>
    <w:rsid w:val="00A911CC"/>
    <w:rsid w:val="00A94ACD"/>
    <w:rsid w:val="00AA283B"/>
    <w:rsid w:val="00AA35C9"/>
    <w:rsid w:val="00AC08C5"/>
    <w:rsid w:val="00AC4881"/>
    <w:rsid w:val="00B312FC"/>
    <w:rsid w:val="00B32009"/>
    <w:rsid w:val="00B37BE0"/>
    <w:rsid w:val="00B415F5"/>
    <w:rsid w:val="00B53E07"/>
    <w:rsid w:val="00B72BAA"/>
    <w:rsid w:val="00B7784E"/>
    <w:rsid w:val="00B855F9"/>
    <w:rsid w:val="00BB1ACC"/>
    <w:rsid w:val="00BB2232"/>
    <w:rsid w:val="00BB34D2"/>
    <w:rsid w:val="00BF5C9E"/>
    <w:rsid w:val="00C024E3"/>
    <w:rsid w:val="00C15F46"/>
    <w:rsid w:val="00C23883"/>
    <w:rsid w:val="00C8346E"/>
    <w:rsid w:val="00C87851"/>
    <w:rsid w:val="00C92A93"/>
    <w:rsid w:val="00C92BE9"/>
    <w:rsid w:val="00CA0D7B"/>
    <w:rsid w:val="00CA182F"/>
    <w:rsid w:val="00D07766"/>
    <w:rsid w:val="00D245C2"/>
    <w:rsid w:val="00D246F9"/>
    <w:rsid w:val="00D4648D"/>
    <w:rsid w:val="00D506FE"/>
    <w:rsid w:val="00D57934"/>
    <w:rsid w:val="00D65CC5"/>
    <w:rsid w:val="00D7410A"/>
    <w:rsid w:val="00DA5AF5"/>
    <w:rsid w:val="00E11345"/>
    <w:rsid w:val="00E16F1F"/>
    <w:rsid w:val="00E363FE"/>
    <w:rsid w:val="00E40C45"/>
    <w:rsid w:val="00E46507"/>
    <w:rsid w:val="00E5483C"/>
    <w:rsid w:val="00E61691"/>
    <w:rsid w:val="00E8786D"/>
    <w:rsid w:val="00E93BA4"/>
    <w:rsid w:val="00E96166"/>
    <w:rsid w:val="00EB2EC4"/>
    <w:rsid w:val="00EB6AF8"/>
    <w:rsid w:val="00EC4A74"/>
    <w:rsid w:val="00EE2DF0"/>
    <w:rsid w:val="00EF58CB"/>
    <w:rsid w:val="00F5319C"/>
    <w:rsid w:val="00F654FD"/>
    <w:rsid w:val="00F77236"/>
    <w:rsid w:val="00F8131F"/>
    <w:rsid w:val="00FA18A5"/>
    <w:rsid w:val="00FC157C"/>
    <w:rsid w:val="00FC3CFE"/>
    <w:rsid w:val="00FC7546"/>
    <w:rsid w:val="00FD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F05690"/>
  <w14:defaultImageDpi w14:val="300"/>
  <w15:docId w15:val="{7706BA41-5EED-49DA-9F5D-AAC715D9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507"/>
    <w:pPr>
      <w:keepNext/>
      <w:keepLines/>
      <w:widowControl w:val="0"/>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6507"/>
    <w:pPr>
      <w:keepNext/>
      <w:keepLines/>
      <w:widowControl w:val="0"/>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6507"/>
    <w:pPr>
      <w:keepNext/>
      <w:keepLines/>
      <w:widowControl w:val="0"/>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46507"/>
    <w:pPr>
      <w:keepNext/>
      <w:keepLines/>
      <w:widowControl w:val="0"/>
      <w:numPr>
        <w:ilvl w:val="3"/>
        <w:numId w:val="1"/>
      </w:numPr>
      <w:spacing w:before="4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E46507"/>
    <w:pPr>
      <w:keepNext/>
      <w:keepLines/>
      <w:widowControl w:val="0"/>
      <w:numPr>
        <w:ilvl w:val="4"/>
        <w:numId w:val="1"/>
      </w:numPr>
      <w:spacing w:before="4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E46507"/>
    <w:pPr>
      <w:keepNext/>
      <w:keepLines/>
      <w:widowControl w:val="0"/>
      <w:numPr>
        <w:ilvl w:val="5"/>
        <w:numId w:val="1"/>
      </w:numPr>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E46507"/>
    <w:pPr>
      <w:keepNext/>
      <w:keepLines/>
      <w:widowControl w:val="0"/>
      <w:numPr>
        <w:ilvl w:val="6"/>
        <w:numId w:val="1"/>
      </w:numPr>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E46507"/>
    <w:pPr>
      <w:keepNext/>
      <w:keepLines/>
      <w:widowControl w:val="0"/>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6507"/>
    <w:pPr>
      <w:keepNext/>
      <w:keepLines/>
      <w:widowControl w:val="0"/>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casterBodyCopy">
    <w:name w:val="Lancaster Body Copy"/>
    <w:basedOn w:val="DefaultParagraphFont"/>
    <w:uiPriority w:val="1"/>
    <w:qFormat/>
    <w:rsid w:val="00C92BE9"/>
    <w:rPr>
      <w:rFonts w:ascii="Arial" w:hAnsi="Arial"/>
      <w:color w:val="595959" w:themeColor="text1" w:themeTint="A6"/>
      <w:sz w:val="20"/>
    </w:rPr>
  </w:style>
  <w:style w:type="paragraph" w:styleId="Header">
    <w:name w:val="header"/>
    <w:basedOn w:val="Normal"/>
    <w:link w:val="HeaderChar"/>
    <w:uiPriority w:val="99"/>
    <w:unhideWhenUsed/>
    <w:rsid w:val="006A3EA6"/>
    <w:pPr>
      <w:tabs>
        <w:tab w:val="center" w:pos="4320"/>
        <w:tab w:val="right" w:pos="8640"/>
      </w:tabs>
    </w:pPr>
  </w:style>
  <w:style w:type="character" w:customStyle="1" w:styleId="HeaderChar">
    <w:name w:val="Header Char"/>
    <w:basedOn w:val="DefaultParagraphFont"/>
    <w:link w:val="Header"/>
    <w:uiPriority w:val="99"/>
    <w:rsid w:val="006A3EA6"/>
  </w:style>
  <w:style w:type="paragraph" w:styleId="Footer">
    <w:name w:val="footer"/>
    <w:basedOn w:val="Normal"/>
    <w:link w:val="FooterChar"/>
    <w:uiPriority w:val="99"/>
    <w:unhideWhenUsed/>
    <w:rsid w:val="006A3EA6"/>
    <w:pPr>
      <w:tabs>
        <w:tab w:val="center" w:pos="4320"/>
        <w:tab w:val="right" w:pos="8640"/>
      </w:tabs>
    </w:pPr>
  </w:style>
  <w:style w:type="character" w:customStyle="1" w:styleId="FooterChar">
    <w:name w:val="Footer Char"/>
    <w:basedOn w:val="DefaultParagraphFont"/>
    <w:link w:val="Footer"/>
    <w:uiPriority w:val="99"/>
    <w:rsid w:val="006A3EA6"/>
  </w:style>
  <w:style w:type="paragraph" w:styleId="BalloonText">
    <w:name w:val="Balloon Text"/>
    <w:basedOn w:val="Normal"/>
    <w:link w:val="BalloonTextChar"/>
    <w:uiPriority w:val="99"/>
    <w:semiHidden/>
    <w:unhideWhenUsed/>
    <w:rsid w:val="006A3EA6"/>
    <w:rPr>
      <w:rFonts w:ascii="Lucida Grande" w:hAnsi="Lucida Grande"/>
      <w:sz w:val="18"/>
      <w:szCs w:val="18"/>
    </w:rPr>
  </w:style>
  <w:style w:type="character" w:customStyle="1" w:styleId="BalloonTextChar">
    <w:name w:val="Balloon Text Char"/>
    <w:basedOn w:val="DefaultParagraphFont"/>
    <w:link w:val="BalloonText"/>
    <w:uiPriority w:val="99"/>
    <w:semiHidden/>
    <w:rsid w:val="006A3EA6"/>
    <w:rPr>
      <w:rFonts w:ascii="Lucida Grande" w:hAnsi="Lucida Grande"/>
      <w:sz w:val="18"/>
      <w:szCs w:val="18"/>
    </w:rPr>
  </w:style>
  <w:style w:type="paragraph" w:customStyle="1" w:styleId="NoParagraphStyle">
    <w:name w:val="[No Paragraph Style]"/>
    <w:rsid w:val="006A3EA6"/>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table" w:styleId="TableGrid">
    <w:name w:val="Table Grid"/>
    <w:basedOn w:val="TableNormal"/>
    <w:uiPriority w:val="59"/>
    <w:rsid w:val="0000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6F5"/>
    <w:pPr>
      <w:widowControl w:val="0"/>
      <w:spacing w:before="1"/>
      <w:ind w:left="691" w:hanging="432"/>
    </w:pPr>
    <w:rPr>
      <w:rFonts w:ascii="Calibri" w:eastAsia="Calibri" w:hAnsi="Calibri" w:cs="Calibri"/>
      <w:sz w:val="22"/>
      <w:szCs w:val="22"/>
    </w:rPr>
  </w:style>
  <w:style w:type="paragraph" w:customStyle="1" w:styleId="Default">
    <w:name w:val="Default"/>
    <w:rsid w:val="00E46507"/>
    <w:pPr>
      <w:autoSpaceDE w:val="0"/>
      <w:autoSpaceDN w:val="0"/>
      <w:adjustRightInd w:val="0"/>
    </w:pPr>
    <w:rPr>
      <w:rFonts w:ascii="Arial" w:hAnsi="Arial" w:cs="Arial"/>
      <w:color w:val="000000"/>
      <w:lang w:val="en-GB"/>
    </w:rPr>
  </w:style>
  <w:style w:type="character" w:customStyle="1" w:styleId="Heading1Char">
    <w:name w:val="Heading 1 Char"/>
    <w:basedOn w:val="DefaultParagraphFont"/>
    <w:link w:val="Heading1"/>
    <w:uiPriority w:val="9"/>
    <w:rsid w:val="00E465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650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4650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4650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4650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4650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4650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465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6507"/>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B7784E"/>
    <w:pPr>
      <w:textAlignment w:val="baseline"/>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A3799F"/>
    <w:rPr>
      <w:sz w:val="16"/>
      <w:szCs w:val="16"/>
    </w:rPr>
  </w:style>
  <w:style w:type="paragraph" w:styleId="CommentText">
    <w:name w:val="annotation text"/>
    <w:basedOn w:val="Normal"/>
    <w:link w:val="CommentTextChar"/>
    <w:uiPriority w:val="99"/>
    <w:semiHidden/>
    <w:unhideWhenUsed/>
    <w:rsid w:val="00A3799F"/>
    <w:rPr>
      <w:sz w:val="20"/>
      <w:szCs w:val="20"/>
    </w:rPr>
  </w:style>
  <w:style w:type="character" w:customStyle="1" w:styleId="CommentTextChar">
    <w:name w:val="Comment Text Char"/>
    <w:basedOn w:val="DefaultParagraphFont"/>
    <w:link w:val="CommentText"/>
    <w:uiPriority w:val="99"/>
    <w:semiHidden/>
    <w:rsid w:val="00A3799F"/>
    <w:rPr>
      <w:sz w:val="20"/>
      <w:szCs w:val="20"/>
    </w:rPr>
  </w:style>
  <w:style w:type="paragraph" w:styleId="CommentSubject">
    <w:name w:val="annotation subject"/>
    <w:basedOn w:val="CommentText"/>
    <w:next w:val="CommentText"/>
    <w:link w:val="CommentSubjectChar"/>
    <w:uiPriority w:val="99"/>
    <w:semiHidden/>
    <w:unhideWhenUsed/>
    <w:rsid w:val="00A3799F"/>
    <w:rPr>
      <w:b/>
      <w:bCs/>
    </w:rPr>
  </w:style>
  <w:style w:type="character" w:customStyle="1" w:styleId="CommentSubjectChar">
    <w:name w:val="Comment Subject Char"/>
    <w:basedOn w:val="CommentTextChar"/>
    <w:link w:val="CommentSubject"/>
    <w:uiPriority w:val="99"/>
    <w:semiHidden/>
    <w:rsid w:val="00A3799F"/>
    <w:rPr>
      <w:b/>
      <w:bCs/>
      <w:sz w:val="20"/>
      <w:szCs w:val="20"/>
    </w:rPr>
  </w:style>
  <w:style w:type="table" w:customStyle="1" w:styleId="TableGrid1">
    <w:name w:val="Table Grid1"/>
    <w:basedOn w:val="TableNormal"/>
    <w:next w:val="TableGrid"/>
    <w:uiPriority w:val="59"/>
    <w:rsid w:val="004B2A56"/>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1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2537">
      <w:bodyDiv w:val="1"/>
      <w:marLeft w:val="0"/>
      <w:marRight w:val="0"/>
      <w:marTop w:val="0"/>
      <w:marBottom w:val="0"/>
      <w:divBdr>
        <w:top w:val="none" w:sz="0" w:space="0" w:color="auto"/>
        <w:left w:val="none" w:sz="0" w:space="0" w:color="auto"/>
        <w:bottom w:val="none" w:sz="0" w:space="0" w:color="auto"/>
        <w:right w:val="none" w:sz="0" w:space="0" w:color="auto"/>
      </w:divBdr>
      <w:divsChild>
        <w:div w:id="1785536685">
          <w:marLeft w:val="1138"/>
          <w:marRight w:val="0"/>
          <w:marTop w:val="170"/>
          <w:marBottom w:val="0"/>
          <w:divBdr>
            <w:top w:val="none" w:sz="0" w:space="0" w:color="auto"/>
            <w:left w:val="none" w:sz="0" w:space="0" w:color="auto"/>
            <w:bottom w:val="none" w:sz="0" w:space="0" w:color="auto"/>
            <w:right w:val="none" w:sz="0" w:space="0" w:color="auto"/>
          </w:divBdr>
        </w:div>
        <w:div w:id="1884250694">
          <w:marLeft w:val="1138"/>
          <w:marRight w:val="0"/>
          <w:marTop w:val="170"/>
          <w:marBottom w:val="0"/>
          <w:divBdr>
            <w:top w:val="none" w:sz="0" w:space="0" w:color="auto"/>
            <w:left w:val="none" w:sz="0" w:space="0" w:color="auto"/>
            <w:bottom w:val="none" w:sz="0" w:space="0" w:color="auto"/>
            <w:right w:val="none" w:sz="0" w:space="0" w:color="auto"/>
          </w:divBdr>
        </w:div>
        <w:div w:id="1518812182">
          <w:marLeft w:val="1742"/>
          <w:marRight w:val="0"/>
          <w:marTop w:val="85"/>
          <w:marBottom w:val="0"/>
          <w:divBdr>
            <w:top w:val="none" w:sz="0" w:space="0" w:color="auto"/>
            <w:left w:val="none" w:sz="0" w:space="0" w:color="auto"/>
            <w:bottom w:val="none" w:sz="0" w:space="0" w:color="auto"/>
            <w:right w:val="none" w:sz="0" w:space="0" w:color="auto"/>
          </w:divBdr>
        </w:div>
        <w:div w:id="79643263">
          <w:marLeft w:val="1742"/>
          <w:marRight w:val="0"/>
          <w:marTop w:val="85"/>
          <w:marBottom w:val="0"/>
          <w:divBdr>
            <w:top w:val="none" w:sz="0" w:space="0" w:color="auto"/>
            <w:left w:val="none" w:sz="0" w:space="0" w:color="auto"/>
            <w:bottom w:val="none" w:sz="0" w:space="0" w:color="auto"/>
            <w:right w:val="none" w:sz="0" w:space="0" w:color="auto"/>
          </w:divBdr>
        </w:div>
        <w:div w:id="707146640">
          <w:marLeft w:val="1742"/>
          <w:marRight w:val="0"/>
          <w:marTop w:val="85"/>
          <w:marBottom w:val="0"/>
          <w:divBdr>
            <w:top w:val="none" w:sz="0" w:space="0" w:color="auto"/>
            <w:left w:val="none" w:sz="0" w:space="0" w:color="auto"/>
            <w:bottom w:val="none" w:sz="0" w:space="0" w:color="auto"/>
            <w:right w:val="none" w:sz="0" w:space="0" w:color="auto"/>
          </w:divBdr>
        </w:div>
        <w:div w:id="1308365505">
          <w:marLeft w:val="1742"/>
          <w:marRight w:val="0"/>
          <w:marTop w:val="85"/>
          <w:marBottom w:val="0"/>
          <w:divBdr>
            <w:top w:val="none" w:sz="0" w:space="0" w:color="auto"/>
            <w:left w:val="none" w:sz="0" w:space="0" w:color="auto"/>
            <w:bottom w:val="none" w:sz="0" w:space="0" w:color="auto"/>
            <w:right w:val="none" w:sz="0" w:space="0" w:color="auto"/>
          </w:divBdr>
        </w:div>
      </w:divsChild>
    </w:div>
    <w:div w:id="64108952">
      <w:bodyDiv w:val="1"/>
      <w:marLeft w:val="0"/>
      <w:marRight w:val="0"/>
      <w:marTop w:val="0"/>
      <w:marBottom w:val="0"/>
      <w:divBdr>
        <w:top w:val="none" w:sz="0" w:space="0" w:color="auto"/>
        <w:left w:val="none" w:sz="0" w:space="0" w:color="auto"/>
        <w:bottom w:val="none" w:sz="0" w:space="0" w:color="auto"/>
        <w:right w:val="none" w:sz="0" w:space="0" w:color="auto"/>
      </w:divBdr>
    </w:div>
    <w:div w:id="463084198">
      <w:bodyDiv w:val="1"/>
      <w:marLeft w:val="0"/>
      <w:marRight w:val="0"/>
      <w:marTop w:val="0"/>
      <w:marBottom w:val="0"/>
      <w:divBdr>
        <w:top w:val="none" w:sz="0" w:space="0" w:color="auto"/>
        <w:left w:val="none" w:sz="0" w:space="0" w:color="auto"/>
        <w:bottom w:val="none" w:sz="0" w:space="0" w:color="auto"/>
        <w:right w:val="none" w:sz="0" w:space="0" w:color="auto"/>
      </w:divBdr>
      <w:divsChild>
        <w:div w:id="390467799">
          <w:marLeft w:val="1138"/>
          <w:marRight w:val="0"/>
          <w:marTop w:val="170"/>
          <w:marBottom w:val="0"/>
          <w:divBdr>
            <w:top w:val="none" w:sz="0" w:space="0" w:color="auto"/>
            <w:left w:val="none" w:sz="0" w:space="0" w:color="auto"/>
            <w:bottom w:val="none" w:sz="0" w:space="0" w:color="auto"/>
            <w:right w:val="none" w:sz="0" w:space="0" w:color="auto"/>
          </w:divBdr>
        </w:div>
      </w:divsChild>
    </w:div>
    <w:div w:id="671031721">
      <w:bodyDiv w:val="1"/>
      <w:marLeft w:val="0"/>
      <w:marRight w:val="0"/>
      <w:marTop w:val="0"/>
      <w:marBottom w:val="0"/>
      <w:divBdr>
        <w:top w:val="none" w:sz="0" w:space="0" w:color="auto"/>
        <w:left w:val="none" w:sz="0" w:space="0" w:color="auto"/>
        <w:bottom w:val="none" w:sz="0" w:space="0" w:color="auto"/>
        <w:right w:val="none" w:sz="0" w:space="0" w:color="auto"/>
      </w:divBdr>
      <w:divsChild>
        <w:div w:id="968630025">
          <w:marLeft w:val="1138"/>
          <w:marRight w:val="0"/>
          <w:marTop w:val="170"/>
          <w:marBottom w:val="0"/>
          <w:divBdr>
            <w:top w:val="none" w:sz="0" w:space="0" w:color="auto"/>
            <w:left w:val="none" w:sz="0" w:space="0" w:color="auto"/>
            <w:bottom w:val="none" w:sz="0" w:space="0" w:color="auto"/>
            <w:right w:val="none" w:sz="0" w:space="0" w:color="auto"/>
          </w:divBdr>
        </w:div>
      </w:divsChild>
    </w:div>
    <w:div w:id="855001781">
      <w:bodyDiv w:val="1"/>
      <w:marLeft w:val="0"/>
      <w:marRight w:val="0"/>
      <w:marTop w:val="0"/>
      <w:marBottom w:val="0"/>
      <w:divBdr>
        <w:top w:val="none" w:sz="0" w:space="0" w:color="auto"/>
        <w:left w:val="none" w:sz="0" w:space="0" w:color="auto"/>
        <w:bottom w:val="none" w:sz="0" w:space="0" w:color="auto"/>
        <w:right w:val="none" w:sz="0" w:space="0" w:color="auto"/>
      </w:divBdr>
      <w:divsChild>
        <w:div w:id="460271264">
          <w:marLeft w:val="1138"/>
          <w:marRight w:val="0"/>
          <w:marTop w:val="170"/>
          <w:marBottom w:val="0"/>
          <w:divBdr>
            <w:top w:val="none" w:sz="0" w:space="0" w:color="auto"/>
            <w:left w:val="none" w:sz="0" w:space="0" w:color="auto"/>
            <w:bottom w:val="none" w:sz="0" w:space="0" w:color="auto"/>
            <w:right w:val="none" w:sz="0" w:space="0" w:color="auto"/>
          </w:divBdr>
        </w:div>
      </w:divsChild>
    </w:div>
    <w:div w:id="990258042">
      <w:bodyDiv w:val="1"/>
      <w:marLeft w:val="0"/>
      <w:marRight w:val="0"/>
      <w:marTop w:val="0"/>
      <w:marBottom w:val="0"/>
      <w:divBdr>
        <w:top w:val="none" w:sz="0" w:space="0" w:color="auto"/>
        <w:left w:val="none" w:sz="0" w:space="0" w:color="auto"/>
        <w:bottom w:val="none" w:sz="0" w:space="0" w:color="auto"/>
        <w:right w:val="none" w:sz="0" w:space="0" w:color="auto"/>
      </w:divBdr>
    </w:div>
    <w:div w:id="1377395365">
      <w:bodyDiv w:val="1"/>
      <w:marLeft w:val="0"/>
      <w:marRight w:val="0"/>
      <w:marTop w:val="0"/>
      <w:marBottom w:val="0"/>
      <w:divBdr>
        <w:top w:val="none" w:sz="0" w:space="0" w:color="auto"/>
        <w:left w:val="none" w:sz="0" w:space="0" w:color="auto"/>
        <w:bottom w:val="none" w:sz="0" w:space="0" w:color="auto"/>
        <w:right w:val="none" w:sz="0" w:space="0" w:color="auto"/>
      </w:divBdr>
      <w:divsChild>
        <w:div w:id="1475487088">
          <w:marLeft w:val="1138"/>
          <w:marRight w:val="0"/>
          <w:marTop w:val="170"/>
          <w:marBottom w:val="0"/>
          <w:divBdr>
            <w:top w:val="none" w:sz="0" w:space="0" w:color="auto"/>
            <w:left w:val="none" w:sz="0" w:space="0" w:color="auto"/>
            <w:bottom w:val="none" w:sz="0" w:space="0" w:color="auto"/>
            <w:right w:val="none" w:sz="0" w:space="0" w:color="auto"/>
          </w:divBdr>
        </w:div>
      </w:divsChild>
    </w:div>
    <w:div w:id="1495222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5ACBFEF73DEF479BBBAD1C8DEFC6FA" ma:contentTypeVersion="8" ma:contentTypeDescription="Create a new document." ma:contentTypeScope="" ma:versionID="c61fa9737661129b013cf04935f6b4b9">
  <xsd:schema xmlns:xsd="http://www.w3.org/2001/XMLSchema" xmlns:xs="http://www.w3.org/2001/XMLSchema" xmlns:p="http://schemas.microsoft.com/office/2006/metadata/properties" xmlns:ns2="03baa6a3-f708-4467-9f52-f586c31036b4" xmlns:ns3="8f5a3317-e2c4-40c3-b9b9-8beeb61d81eb" targetNamespace="http://schemas.microsoft.com/office/2006/metadata/properties" ma:root="true" ma:fieldsID="dbbf8ec557c85e9265e01b20be0f2db9" ns2:_="" ns3:_="">
    <xsd:import namespace="03baa6a3-f708-4467-9f52-f586c31036b4"/>
    <xsd:import namespace="8f5a3317-e2c4-40c3-b9b9-8beeb61d81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aa6a3-f708-4467-9f52-f586c3103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a3317-e2c4-40c3-b9b9-8beeb61d81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D412D-8289-4BA3-9EFF-8A33330FC62F}">
  <ds:schemaRefs>
    <ds:schemaRef ds:uri="http://schemas.microsoft.com/sharepoint/v3/contenttype/forms"/>
  </ds:schemaRefs>
</ds:datastoreItem>
</file>

<file path=customXml/itemProps2.xml><?xml version="1.0" encoding="utf-8"?>
<ds:datastoreItem xmlns:ds="http://schemas.openxmlformats.org/officeDocument/2006/customXml" ds:itemID="{25694955-5D9C-4435-B3D9-BFF4E438C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aa6a3-f708-4467-9f52-f586c31036b4"/>
    <ds:schemaRef ds:uri="8f5a3317-e2c4-40c3-b9b9-8beeb61d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4203B-5514-4556-ADBE-E9B9706BCF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3baa6a3-f708-4467-9f52-f586c31036b4"/>
    <ds:schemaRef ds:uri="http://purl.org/dc/terms/"/>
    <ds:schemaRef ds:uri="http://schemas.openxmlformats.org/package/2006/metadata/core-properties"/>
    <ds:schemaRef ds:uri="8f5a3317-e2c4-40c3-b9b9-8beeb61d81eb"/>
    <ds:schemaRef ds:uri="http://www.w3.org/XML/1998/namespace"/>
    <ds:schemaRef ds:uri="http://purl.org/dc/dcmitype/"/>
  </ds:schemaRefs>
</ds:datastoreItem>
</file>

<file path=customXml/itemProps4.xml><?xml version="1.0" encoding="utf-8"?>
<ds:datastoreItem xmlns:ds="http://schemas.openxmlformats.org/officeDocument/2006/customXml" ds:itemID="{DB24C510-6896-4C55-9E80-C451F2C5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RH Partners</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Herbert</dc:creator>
  <cp:lastModifiedBy>Melanie Sealey</cp:lastModifiedBy>
  <cp:revision>5</cp:revision>
  <cp:lastPrinted>2018-02-27T09:47:00Z</cp:lastPrinted>
  <dcterms:created xsi:type="dcterms:W3CDTF">2018-03-12T13:32:00Z</dcterms:created>
  <dcterms:modified xsi:type="dcterms:W3CDTF">2018-03-13T11:11:00Z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0x0101003B5ACBFEF73DEF479BBBAD1C8DEFC6FA</vt:lpwstr>
  </property>
</Properties>
</file>